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881" w:rsidRDefault="00345881">
      <w:bookmarkStart w:id="0" w:name="_GoBack"/>
      <w:bookmarkEnd w:id="0"/>
      <w:r>
        <w:tab/>
      </w:r>
      <w:r>
        <w:tab/>
      </w:r>
      <w:r>
        <w:tab/>
      </w:r>
      <w:r>
        <w:tab/>
      </w:r>
      <w:r>
        <w:tab/>
      </w:r>
      <w:r>
        <w:tab/>
      </w:r>
      <w:r>
        <w:tab/>
      </w:r>
      <w:r>
        <w:tab/>
        <w:t>Bursa, 2</w:t>
      </w:r>
      <w:r w:rsidR="00043A7F">
        <w:t>8</w:t>
      </w:r>
      <w:r>
        <w:t>.Temmuz.2017</w:t>
      </w:r>
    </w:p>
    <w:p w:rsidR="00345881" w:rsidRDefault="00345881"/>
    <w:p w:rsidR="00F65D9D" w:rsidRDefault="000110D7">
      <w:r>
        <w:t xml:space="preserve">BURSADA YAPILABİLECEK YATIRIMLAR: </w:t>
      </w:r>
    </w:p>
    <w:p w:rsidR="000110D7" w:rsidRDefault="00043A7F">
      <w:r>
        <w:t xml:space="preserve">Devletimiz, yatırımların durmaması ve artması için devamlı kararlar almaktadır. Bilhassa 2017 yılında yatırımlarla ilgili alınan kararlar, yatırımcıya büyük kolaylıklar ve faydalar getirmiştir. Bu sebeple bu yazımızı Bursa’ da yapılabilecek yatırımlara ayırdık. Bir daha hatırlatalım dedik. </w:t>
      </w:r>
    </w:p>
    <w:p w:rsidR="000110D7" w:rsidRDefault="000110D7">
      <w:r>
        <w:t xml:space="preserve">Bursa yatırım açısından 1. (birinci) bölgededir. Burada yapılabilecek yatırımlar ve asgari yatırım tutarları aşağıdadır. </w:t>
      </w:r>
    </w:p>
    <w:p w:rsidR="000110D7" w:rsidRDefault="000110D7"/>
    <w:p w:rsidR="000110D7" w:rsidRDefault="000110D7">
      <w:r>
        <w:t xml:space="preserve">Sektör kodu    US-97 Kodu  </w:t>
      </w:r>
      <w:r w:rsidR="00043A7F">
        <w:tab/>
      </w:r>
      <w:r>
        <w:t xml:space="preserve">Yapılacak yatırımın ismi </w:t>
      </w:r>
      <w:r>
        <w:tab/>
      </w:r>
      <w:r>
        <w:tab/>
      </w:r>
      <w:r>
        <w:tab/>
        <w:t xml:space="preserve">Asgari Yatırım TL. </w:t>
      </w:r>
    </w:p>
    <w:p w:rsidR="000110D7" w:rsidRDefault="00043A7F">
      <w:r>
        <w:t>1</w:t>
      </w:r>
      <w:r>
        <w:tab/>
      </w:r>
      <w:r>
        <w:tab/>
        <w:t>01214-0122</w:t>
      </w:r>
      <w:r>
        <w:tab/>
        <w:t>E</w:t>
      </w:r>
      <w:r w:rsidR="00ED1DC6">
        <w:t>ntegre hayvancılık yatırımları (Dip not 5)</w:t>
      </w:r>
      <w:r>
        <w:tab/>
        <w:t>1.000.000 Bir milyon</w:t>
      </w:r>
    </w:p>
    <w:p w:rsidR="00043A7F" w:rsidRDefault="00043A7F">
      <w:r>
        <w:t>2</w:t>
      </w:r>
      <w:r>
        <w:tab/>
      </w:r>
      <w:r>
        <w:tab/>
        <w:t>0500.0.04</w:t>
      </w:r>
      <w:r>
        <w:tab/>
        <w:t>Su ürünleri yetiştiriciliği</w:t>
      </w:r>
      <w:r>
        <w:tab/>
      </w:r>
      <w:r>
        <w:tab/>
      </w:r>
      <w:r>
        <w:tab/>
      </w:r>
      <w:r>
        <w:tab/>
        <w:t>1.000.000 Bir milyon</w:t>
      </w:r>
    </w:p>
    <w:p w:rsidR="00043A7F" w:rsidRDefault="00043A7F">
      <w:r>
        <w:t>3</w:t>
      </w:r>
      <w:r>
        <w:tab/>
      </w:r>
      <w:r>
        <w:tab/>
        <w:t>15</w:t>
      </w:r>
      <w:r>
        <w:tab/>
      </w:r>
      <w:r>
        <w:tab/>
        <w:t>Gıda ürünleri ve içecek imalatı</w:t>
      </w:r>
      <w:r w:rsidR="00ED1DC6">
        <w:t xml:space="preserve"> (Dip not 6)</w:t>
      </w:r>
      <w:r>
        <w:tab/>
        <w:t>2.000.000 İki milyon</w:t>
      </w:r>
    </w:p>
    <w:p w:rsidR="00043A7F" w:rsidRDefault="00043A7F">
      <w:r>
        <w:t>4</w:t>
      </w:r>
      <w:r>
        <w:tab/>
      </w:r>
      <w:r>
        <w:tab/>
        <w:t>17</w:t>
      </w:r>
      <w:r>
        <w:tab/>
      </w:r>
      <w:r>
        <w:tab/>
      </w:r>
      <w:r w:rsidR="00ED1DC6">
        <w:t>Tekstil ürünleri imalatı (Dipnot:8)</w:t>
      </w:r>
      <w:r w:rsidR="00ED1DC6">
        <w:tab/>
      </w:r>
      <w:r w:rsidR="00ED1DC6">
        <w:tab/>
        <w:t>Aprede 10 milyon,</w:t>
      </w:r>
    </w:p>
    <w:p w:rsidR="00ED1DC6" w:rsidRDefault="00ED1DC6">
      <w:r>
        <w:tab/>
      </w:r>
      <w:r>
        <w:tab/>
      </w:r>
      <w:r>
        <w:tab/>
      </w:r>
      <w:r>
        <w:tab/>
      </w:r>
      <w:r>
        <w:tab/>
      </w:r>
      <w:r>
        <w:tab/>
      </w:r>
      <w:r>
        <w:tab/>
      </w:r>
      <w:r>
        <w:tab/>
      </w:r>
      <w:r>
        <w:tab/>
      </w:r>
      <w:r>
        <w:tab/>
        <w:t xml:space="preserve">Diğerleri 2 milyon TL. </w:t>
      </w:r>
    </w:p>
    <w:p w:rsidR="00ED1DC6" w:rsidRDefault="00ED1DC6">
      <w:r>
        <w:t>6</w:t>
      </w:r>
      <w:r>
        <w:tab/>
      </w:r>
      <w:r>
        <w:tab/>
        <w:t>19</w:t>
      </w:r>
      <w:r>
        <w:tab/>
      </w:r>
      <w:r>
        <w:tab/>
        <w:t xml:space="preserve">Derinin tabaklanması ve işlenmesi </w:t>
      </w:r>
      <w:r>
        <w:tab/>
      </w:r>
      <w:r>
        <w:tab/>
        <w:t>1.000.000 Birmilyon</w:t>
      </w:r>
    </w:p>
    <w:p w:rsidR="00ED1DC6" w:rsidRDefault="00ED1DC6">
      <w:r>
        <w:t>9</w:t>
      </w:r>
      <w:r>
        <w:tab/>
      </w:r>
      <w:r>
        <w:tab/>
        <w:t>20</w:t>
      </w:r>
      <w:r>
        <w:tab/>
      </w:r>
      <w:r>
        <w:tab/>
        <w:t>Ağaç ve mantar ürünleri imalatı</w:t>
      </w:r>
    </w:p>
    <w:p w:rsidR="00ED1DC6" w:rsidRDefault="00ED1DC6">
      <w:r>
        <w:tab/>
      </w:r>
      <w:r>
        <w:tab/>
      </w:r>
      <w:r>
        <w:tab/>
      </w:r>
      <w:r>
        <w:tab/>
        <w:t>(mobilya hariç), hasır ve örgü madde imaii</w:t>
      </w:r>
      <w:r>
        <w:tab/>
        <w:t>4.000.000 Dörtmilyon</w:t>
      </w:r>
    </w:p>
    <w:p w:rsidR="00ED1DC6" w:rsidRDefault="00ED1DC6">
      <w:r>
        <w:t>10</w:t>
      </w:r>
      <w:r>
        <w:tab/>
      </w:r>
      <w:r>
        <w:tab/>
        <w:t>21</w:t>
      </w:r>
      <w:r>
        <w:tab/>
      </w:r>
      <w:r>
        <w:tab/>
        <w:t>Kağıt ve kağıt ürünleri imalatı</w:t>
      </w:r>
      <w:r>
        <w:tab/>
      </w:r>
      <w:r>
        <w:tab/>
      </w:r>
      <w:r>
        <w:tab/>
        <w:t>10.000.000 On milyon</w:t>
      </w:r>
    </w:p>
    <w:p w:rsidR="00ED1DC6" w:rsidRDefault="00ED1DC6">
      <w:r>
        <w:t>14</w:t>
      </w:r>
      <w:r>
        <w:tab/>
      </w:r>
      <w:r>
        <w:tab/>
        <w:t>2423</w:t>
      </w:r>
      <w:r>
        <w:tab/>
      </w:r>
      <w:r>
        <w:tab/>
        <w:t>İlaç/eczacılık ve tıpta kullanılan</w:t>
      </w:r>
    </w:p>
    <w:p w:rsidR="00A20856" w:rsidRDefault="00ED1DC6">
      <w:r>
        <w:tab/>
      </w:r>
      <w:r>
        <w:tab/>
      </w:r>
      <w:r>
        <w:tab/>
      </w:r>
      <w:r>
        <w:tab/>
        <w:t xml:space="preserve">Kimyasal ve bitkisel </w:t>
      </w:r>
      <w:r w:rsidR="00A20856">
        <w:t>ürün imalatı</w:t>
      </w:r>
      <w:r w:rsidR="00A20856">
        <w:tab/>
      </w:r>
      <w:r w:rsidR="00A20856">
        <w:tab/>
        <w:t>1.000.000 Birmilyon</w:t>
      </w:r>
    </w:p>
    <w:p w:rsidR="00A20856" w:rsidRDefault="00A20856">
      <w:r>
        <w:t>20</w:t>
      </w:r>
      <w:r>
        <w:tab/>
      </w:r>
      <w:r>
        <w:tab/>
        <w:t>26</w:t>
      </w:r>
      <w:r>
        <w:tab/>
      </w:r>
      <w:r>
        <w:tab/>
        <w:t>Metalik olmayan mineral ürünlerin</w:t>
      </w:r>
    </w:p>
    <w:p w:rsidR="00ED1DC6" w:rsidRDefault="00A20856">
      <w:r>
        <w:tab/>
      </w:r>
      <w:r>
        <w:tab/>
      </w:r>
      <w:r>
        <w:tab/>
      </w:r>
      <w:r>
        <w:tab/>
        <w:t>İmalatı (kiremit,biriket,tuğla vs. hariç)</w:t>
      </w:r>
      <w:r w:rsidR="00ED1DC6">
        <w:t xml:space="preserve"> </w:t>
      </w:r>
      <w:r>
        <w:tab/>
      </w:r>
      <w:r>
        <w:tab/>
        <w:t>4.000.000 Dörtmilyon</w:t>
      </w:r>
    </w:p>
    <w:p w:rsidR="00A20856" w:rsidRDefault="00A20856">
      <w:r>
        <w:t>27</w:t>
      </w:r>
      <w:r>
        <w:tab/>
      </w:r>
      <w:r>
        <w:tab/>
        <w:t>2720-273</w:t>
      </w:r>
      <w:r>
        <w:tab/>
        <w:t>Demir-çelik dışındaki ana metal sanayi</w:t>
      </w:r>
    </w:p>
    <w:p w:rsidR="00A20856" w:rsidRDefault="00A20856">
      <w:r>
        <w:tab/>
      </w:r>
      <w:r>
        <w:tab/>
      </w:r>
      <w:r>
        <w:tab/>
      </w:r>
      <w:r>
        <w:tab/>
        <w:t>Metal döküm sanayii</w:t>
      </w:r>
      <w:r>
        <w:tab/>
      </w:r>
      <w:r>
        <w:tab/>
      </w:r>
      <w:r>
        <w:tab/>
      </w:r>
      <w:r>
        <w:tab/>
        <w:t>4.000.000 Dörtmilyon</w:t>
      </w:r>
    </w:p>
    <w:p w:rsidR="00A20856" w:rsidRDefault="00A20856">
      <w:r>
        <w:t>29</w:t>
      </w:r>
      <w:r>
        <w:tab/>
      </w:r>
      <w:r>
        <w:tab/>
        <w:t>2812.2,2813</w:t>
      </w:r>
      <w:r>
        <w:tab/>
        <w:t xml:space="preserve">Merkezi ısıtma radyatör ve kazan ve </w:t>
      </w:r>
    </w:p>
    <w:p w:rsidR="00A20856" w:rsidRDefault="00A20856">
      <w:r>
        <w:tab/>
      </w:r>
      <w:r>
        <w:tab/>
      </w:r>
      <w:r>
        <w:tab/>
      </w:r>
      <w:r>
        <w:tab/>
        <w:t>Buhar kazanı imalatı(merkezi kalorifer</w:t>
      </w:r>
    </w:p>
    <w:p w:rsidR="00A20856" w:rsidRDefault="00A20856">
      <w:r>
        <w:tab/>
      </w:r>
      <w:r>
        <w:tab/>
      </w:r>
      <w:r>
        <w:tab/>
      </w:r>
      <w:r>
        <w:tab/>
        <w:t>Kazanları hariç )</w:t>
      </w:r>
      <w:r>
        <w:tab/>
      </w:r>
      <w:r>
        <w:tab/>
      </w:r>
      <w:r>
        <w:tab/>
      </w:r>
      <w:r>
        <w:tab/>
        <w:t>4.000.000 Dörtmilyon</w:t>
      </w:r>
    </w:p>
    <w:p w:rsidR="00A20856" w:rsidRDefault="00A20856">
      <w:r>
        <w:t>30</w:t>
      </w:r>
      <w:r>
        <w:tab/>
      </w:r>
      <w:r>
        <w:tab/>
        <w:t>29</w:t>
      </w:r>
      <w:r>
        <w:tab/>
      </w:r>
      <w:r>
        <w:tab/>
        <w:t>Makine ve teçhizat imalatı</w:t>
      </w:r>
      <w:r>
        <w:tab/>
      </w:r>
      <w:r>
        <w:tab/>
      </w:r>
      <w:r>
        <w:tab/>
        <w:t>4.000.000 Dörtmilyon</w:t>
      </w:r>
    </w:p>
    <w:p w:rsidR="00A20856" w:rsidRDefault="00A20856">
      <w:r>
        <w:t>32</w:t>
      </w:r>
      <w:r>
        <w:tab/>
      </w:r>
      <w:r>
        <w:tab/>
        <w:t>30</w:t>
      </w:r>
      <w:r>
        <w:tab/>
      </w:r>
      <w:r>
        <w:tab/>
        <w:t xml:space="preserve">Büro, muhasebe ve bilgi işlem makineleri </w:t>
      </w:r>
    </w:p>
    <w:p w:rsidR="00A20856" w:rsidRDefault="00A20856">
      <w:r>
        <w:tab/>
      </w:r>
      <w:r>
        <w:tab/>
      </w:r>
      <w:r>
        <w:tab/>
      </w:r>
      <w:r>
        <w:tab/>
        <w:t xml:space="preserve">İmalatı </w:t>
      </w:r>
      <w:r>
        <w:tab/>
      </w:r>
      <w:r>
        <w:tab/>
      </w:r>
      <w:r>
        <w:tab/>
      </w:r>
      <w:r>
        <w:tab/>
      </w:r>
      <w:r>
        <w:tab/>
      </w:r>
      <w:r>
        <w:tab/>
      </w:r>
      <w:r w:rsidR="00CC5C66">
        <w:t>1.000.000 Birmilyon</w:t>
      </w:r>
    </w:p>
    <w:p w:rsidR="00CC5C66" w:rsidRDefault="00CC5C66">
      <w:r>
        <w:t>33</w:t>
      </w:r>
      <w:r>
        <w:tab/>
      </w:r>
      <w:r>
        <w:tab/>
        <w:t>31</w:t>
      </w:r>
      <w:r>
        <w:tab/>
      </w:r>
      <w:r>
        <w:tab/>
        <w:t xml:space="preserve">Elektrikli makine ve cihazlar imalatı </w:t>
      </w:r>
      <w:r>
        <w:tab/>
      </w:r>
      <w:r>
        <w:tab/>
        <w:t>4.000.000 Dörtmilyon</w:t>
      </w:r>
    </w:p>
    <w:p w:rsidR="00CC5C66" w:rsidRDefault="00CC5C66">
      <w:r>
        <w:lastRenderedPageBreak/>
        <w:t>34</w:t>
      </w:r>
      <w:r>
        <w:tab/>
      </w:r>
      <w:r>
        <w:tab/>
        <w:t>32</w:t>
      </w:r>
      <w:r>
        <w:tab/>
      </w:r>
      <w:r>
        <w:tab/>
        <w:t>Radyo, televizyon, haberleşme teçhizatı</w:t>
      </w:r>
    </w:p>
    <w:p w:rsidR="00CC5C66" w:rsidRDefault="00CC5C66">
      <w:r>
        <w:tab/>
      </w:r>
      <w:r>
        <w:tab/>
      </w:r>
      <w:r>
        <w:tab/>
      </w:r>
      <w:r>
        <w:tab/>
        <w:t>Ve cihazları imalatı</w:t>
      </w:r>
      <w:r>
        <w:tab/>
      </w:r>
      <w:r>
        <w:tab/>
      </w:r>
      <w:r>
        <w:tab/>
      </w:r>
      <w:r>
        <w:tab/>
        <w:t>1.000.000 Birmilyon</w:t>
      </w:r>
    </w:p>
    <w:p w:rsidR="00CC5C66" w:rsidRDefault="00CC5C66">
      <w:r>
        <w:t>35</w:t>
      </w:r>
      <w:r>
        <w:tab/>
      </w:r>
      <w:r>
        <w:tab/>
        <w:t>33</w:t>
      </w:r>
      <w:r>
        <w:tab/>
      </w:r>
      <w:r>
        <w:tab/>
        <w:t xml:space="preserve">Tıbbi aletler, hassas ve optik alet imalatı </w:t>
      </w:r>
      <w:r>
        <w:tab/>
        <w:t>1.000.000 Birmilyon</w:t>
      </w:r>
    </w:p>
    <w:p w:rsidR="00CC5C66" w:rsidRDefault="00CC5C66">
      <w:r>
        <w:t>36</w:t>
      </w:r>
      <w:r>
        <w:tab/>
      </w:r>
      <w:r>
        <w:tab/>
        <w:t>34</w:t>
      </w:r>
      <w:r>
        <w:tab/>
      </w:r>
      <w:r>
        <w:tab/>
        <w:t xml:space="preserve">Motorlu kara taşıt ve yan sanayi </w:t>
      </w:r>
      <w:r>
        <w:tab/>
      </w:r>
      <w:r>
        <w:tab/>
        <w:t>Taşıt 50.000.000</w:t>
      </w:r>
    </w:p>
    <w:p w:rsidR="00CC5C66" w:rsidRDefault="00CC5C66">
      <w:r>
        <w:tab/>
      </w:r>
      <w:r>
        <w:tab/>
      </w:r>
      <w:r>
        <w:tab/>
      </w:r>
      <w:r>
        <w:tab/>
      </w:r>
      <w:r>
        <w:tab/>
      </w:r>
      <w:r>
        <w:tab/>
      </w:r>
      <w:r>
        <w:tab/>
      </w:r>
      <w:r>
        <w:tab/>
      </w:r>
      <w:r>
        <w:tab/>
      </w:r>
      <w:r>
        <w:tab/>
        <w:t xml:space="preserve">Yan sanayi 4.000.000 </w:t>
      </w:r>
    </w:p>
    <w:p w:rsidR="00CC5C66" w:rsidRDefault="00CC5C66">
      <w:r>
        <w:t xml:space="preserve">39 </w:t>
      </w:r>
      <w:r>
        <w:tab/>
      </w:r>
      <w:r>
        <w:tab/>
        <w:t>361</w:t>
      </w:r>
      <w:r>
        <w:tab/>
      </w:r>
      <w:r>
        <w:tab/>
      </w:r>
      <w:r w:rsidR="007A2CDF">
        <w:t>Mobilya imalatı (metal-plastik hariç)</w:t>
      </w:r>
      <w:r w:rsidR="007A2CDF">
        <w:tab/>
      </w:r>
      <w:r w:rsidR="007A2CDF">
        <w:tab/>
        <w:t>4.000.000 Dörtmilyon</w:t>
      </w:r>
    </w:p>
    <w:p w:rsidR="007A2CDF" w:rsidRDefault="007A2CDF">
      <w:r>
        <w:t>41</w:t>
      </w:r>
      <w:r>
        <w:tab/>
      </w:r>
      <w:r>
        <w:tab/>
        <w:t>5510</w:t>
      </w:r>
      <w:r>
        <w:tab/>
      </w:r>
      <w:r>
        <w:tab/>
        <w:t>Oteller</w:t>
      </w:r>
      <w:r>
        <w:tab/>
      </w:r>
      <w:r>
        <w:tab/>
      </w:r>
      <w:r>
        <w:tab/>
      </w:r>
      <w:r>
        <w:tab/>
      </w:r>
      <w:r>
        <w:tab/>
      </w:r>
      <w:r>
        <w:tab/>
        <w:t xml:space="preserve">3 yıldız ve üzeri </w:t>
      </w:r>
    </w:p>
    <w:p w:rsidR="007A2CDF" w:rsidRDefault="007A2CDF">
      <w:r>
        <w:t>42</w:t>
      </w:r>
      <w:r>
        <w:tab/>
      </w:r>
      <w:r>
        <w:tab/>
        <w:t>5510.3.01</w:t>
      </w:r>
      <w:r>
        <w:tab/>
        <w:t xml:space="preserve">Öğrenci yurtları </w:t>
      </w:r>
      <w:r>
        <w:tab/>
      </w:r>
      <w:r>
        <w:tab/>
      </w:r>
      <w:r>
        <w:tab/>
      </w:r>
      <w:r>
        <w:tab/>
        <w:t>100 öğrenci</w:t>
      </w:r>
    </w:p>
    <w:p w:rsidR="007A2CDF" w:rsidRDefault="007A2CDF">
      <w:r>
        <w:t>43</w:t>
      </w:r>
      <w:r>
        <w:tab/>
      </w:r>
      <w:r>
        <w:tab/>
        <w:t>63.02</w:t>
      </w:r>
      <w:r>
        <w:tab/>
      </w:r>
      <w:r>
        <w:tab/>
        <w:t xml:space="preserve">Soğuk hava deposu hizmetleri </w:t>
      </w:r>
      <w:r>
        <w:tab/>
      </w:r>
      <w:r>
        <w:tab/>
      </w:r>
      <w:r>
        <w:tab/>
        <w:t xml:space="preserve">1.000 m2. </w:t>
      </w:r>
    </w:p>
    <w:p w:rsidR="007A2CDF" w:rsidRDefault="007A2CDF">
      <w:r>
        <w:t>44</w:t>
      </w:r>
      <w:r>
        <w:tab/>
      </w:r>
      <w:r>
        <w:tab/>
        <w:t>63.02.0.03</w:t>
      </w:r>
      <w:r>
        <w:tab/>
        <w:t>Lisanslı depoculuk</w:t>
      </w:r>
      <w:r>
        <w:tab/>
      </w:r>
      <w:r>
        <w:tab/>
      </w:r>
      <w:r>
        <w:tab/>
      </w:r>
      <w:r>
        <w:tab/>
        <w:t>2.000.000 İkimilyon</w:t>
      </w:r>
    </w:p>
    <w:p w:rsidR="007A2CDF" w:rsidRDefault="007A2CDF">
      <w:r>
        <w:t>45</w:t>
      </w:r>
      <w:r>
        <w:tab/>
      </w:r>
      <w:r>
        <w:tab/>
        <w:t>80(809 hariç)</w:t>
      </w:r>
      <w:r>
        <w:tab/>
        <w:t xml:space="preserve">Eğitim hizmetleri </w:t>
      </w:r>
      <w:r>
        <w:tab/>
      </w:r>
      <w:r>
        <w:tab/>
      </w:r>
      <w:r>
        <w:tab/>
      </w:r>
      <w:r>
        <w:tab/>
        <w:t>1.000.000 Birmilyon</w:t>
      </w:r>
    </w:p>
    <w:p w:rsidR="007A2CDF" w:rsidRDefault="007A2CDF">
      <w:r>
        <w:t>46</w:t>
      </w:r>
      <w:r>
        <w:tab/>
      </w:r>
      <w:r>
        <w:tab/>
        <w:t>85.11</w:t>
      </w:r>
      <w:r>
        <w:tab/>
      </w:r>
      <w:r>
        <w:tab/>
        <w:t>Hastane yatırımı, huzurevi</w:t>
      </w:r>
      <w:r>
        <w:tab/>
      </w:r>
      <w:r>
        <w:tab/>
      </w:r>
      <w:r>
        <w:tab/>
        <w:t>Hastane 1.000.000</w:t>
      </w:r>
    </w:p>
    <w:p w:rsidR="007A2CDF" w:rsidRDefault="007A2CDF">
      <w:r>
        <w:tab/>
      </w:r>
      <w:r>
        <w:tab/>
      </w:r>
      <w:r>
        <w:tab/>
      </w:r>
      <w:r>
        <w:tab/>
      </w:r>
      <w:r>
        <w:tab/>
      </w:r>
      <w:r>
        <w:tab/>
      </w:r>
      <w:r>
        <w:tab/>
      </w:r>
      <w:r>
        <w:tab/>
      </w:r>
      <w:r>
        <w:tab/>
      </w:r>
      <w:r>
        <w:tab/>
        <w:t>Huzurevi 100 kişi</w:t>
      </w:r>
    </w:p>
    <w:p w:rsidR="007A2CDF" w:rsidRDefault="007A2CDF">
      <w:r>
        <w:t>47</w:t>
      </w:r>
      <w:r>
        <w:tab/>
      </w:r>
      <w:r>
        <w:tab/>
      </w:r>
      <w:r w:rsidR="00C73FAB">
        <w:tab/>
      </w:r>
      <w:r w:rsidR="00C73FAB">
        <w:tab/>
        <w:t xml:space="preserve">Akıllı çok fonksiyonlu teknik tekstil </w:t>
      </w:r>
      <w:r w:rsidR="00C73FAB">
        <w:tab/>
      </w:r>
      <w:r w:rsidR="00C73FAB">
        <w:tab/>
        <w:t>1.000.000 Birmilyon</w:t>
      </w:r>
    </w:p>
    <w:p w:rsidR="00C73FAB" w:rsidRDefault="00C73FAB">
      <w:r>
        <w:t>48</w:t>
      </w:r>
      <w:r>
        <w:tab/>
      </w:r>
      <w:r>
        <w:tab/>
      </w:r>
      <w:r>
        <w:tab/>
      </w:r>
      <w:r>
        <w:tab/>
        <w:t xml:space="preserve">Atık geri kazanımı ve bertaraf tesisleri </w:t>
      </w:r>
      <w:r>
        <w:tab/>
      </w:r>
      <w:r>
        <w:tab/>
        <w:t>1.000.000 Birmilyon</w:t>
      </w:r>
    </w:p>
    <w:p w:rsidR="00C73FAB" w:rsidRDefault="00C73FAB">
      <w:r>
        <w:t>50</w:t>
      </w:r>
      <w:r>
        <w:tab/>
      </w:r>
      <w:r>
        <w:tab/>
      </w:r>
      <w:r>
        <w:tab/>
      </w:r>
      <w:r>
        <w:tab/>
        <w:t>Seracılık</w:t>
      </w:r>
      <w:r>
        <w:tab/>
      </w:r>
      <w:r>
        <w:tab/>
      </w:r>
      <w:r>
        <w:tab/>
      </w:r>
      <w:r>
        <w:tab/>
      </w:r>
      <w:r>
        <w:tab/>
        <w:t>40 Dekar</w:t>
      </w:r>
    </w:p>
    <w:p w:rsidR="00C73FAB" w:rsidRDefault="00C73FAB">
      <w:r>
        <w:t>11</w:t>
      </w:r>
      <w:r>
        <w:tab/>
      </w:r>
      <w:r>
        <w:tab/>
        <w:t>24</w:t>
      </w:r>
      <w:r>
        <w:tab/>
      </w:r>
      <w:r>
        <w:tab/>
        <w:t xml:space="preserve">Kimyasal madde ve ürün imalatı </w:t>
      </w:r>
      <w:r>
        <w:tab/>
      </w:r>
      <w:r>
        <w:tab/>
        <w:t>4.000.000 Dörtmilyon</w:t>
      </w:r>
    </w:p>
    <w:p w:rsidR="00C73FAB" w:rsidRDefault="00C73FAB"/>
    <w:p w:rsidR="00C73FAB" w:rsidRDefault="00C73FAB">
      <w:r>
        <w:t>Dipnot 5. Entegre hayvancılık yatırımlarında:</w:t>
      </w:r>
    </w:p>
    <w:p w:rsidR="00C73FAB" w:rsidRDefault="00C73FAB" w:rsidP="00C73FAB">
      <w:pPr>
        <w:pStyle w:val="ListeParagraf"/>
        <w:numPr>
          <w:ilvl w:val="0"/>
          <w:numId w:val="3"/>
        </w:numPr>
      </w:pPr>
      <w:r>
        <w:t xml:space="preserve">Ve 2. İnci bölgede süt yönlü büyükbaş, entegre yatırımlarında 500 büyükbaş, et yönlü büyükbaş entegre yatırımlarında 700 büyükbaş/’dönem, damızlık büyükbaş entegre yatırımlarında 500 büyükbaş, damızlık küçükbaş hayvan entegre yatırımlarında 2.000 küçükbaş, süt ve et yönlü küçükbaş entegre yatırımlarında 2.000 küçükbaş/dönem ve </w:t>
      </w:r>
      <w:r w:rsidR="000E62F1">
        <w:t>kanatlı entegre yatırımlarında 200.000 adet/dönem asgari kapasite şartı aranır. (Damızlık entegre kanatlı yatırımlarında kapasite şartı aranmaz)</w:t>
      </w:r>
    </w:p>
    <w:p w:rsidR="000E62F1" w:rsidRDefault="000E62F1" w:rsidP="000E62F1">
      <w:r>
        <w:t xml:space="preserve">Dipnot 6: </w:t>
      </w:r>
    </w:p>
    <w:p w:rsidR="000E62F1" w:rsidRDefault="000E62F1" w:rsidP="000E62F1">
      <w:r>
        <w:t>6. ıncı bölge hariç olmak üzere, gıda ürünleri ve içecek imalatı yatırımlarından makarna, makarna ile entegre irmik yatırımları, şehriye, kuskus, yufka, kadayıf, pirinç, ev hayvanları için hazır yem, balık unu, balık yağı, balık yemi, ekmek, rakı, bira, kuruyemiş, turşu, linter pamuğu, çay, fıındık kırma/kavurma, hazır çorba ve et suları ve müstahzarları üretimleri ile tahıl ve baklagil tasnif ve ambala</w:t>
      </w:r>
      <w:r w:rsidR="00543036">
        <w:t>j</w:t>
      </w:r>
      <w:r>
        <w:t>lanması yatırımları bölgesel desteklerden yararlanamaz.</w:t>
      </w:r>
    </w:p>
    <w:p w:rsidR="00543036" w:rsidRDefault="00543036" w:rsidP="000E62F1"/>
    <w:p w:rsidR="00543036" w:rsidRDefault="00543036" w:rsidP="000E62F1">
      <w:r>
        <w:t>Dip not 8:</w:t>
      </w:r>
    </w:p>
    <w:p w:rsidR="00543036" w:rsidRDefault="00543036" w:rsidP="000E62F1">
      <w:r>
        <w:lastRenderedPageBreak/>
        <w:t xml:space="preserve">Altıncı bölge hariç olmak üzere, iplik ve dokuma ( yün ipliği, akıllı ve çok fonksiyonlu teknik tekstil, halı, tafting, dokunmamış-örülmemiş kumaş, çuval hariç)= konularında sadece modernizasyon cinsindeki yatırımlar bölgesel desteklerden yararlanır. </w:t>
      </w:r>
    </w:p>
    <w:p w:rsidR="007A2CDF" w:rsidRDefault="00543036">
      <w:r>
        <w:t xml:space="preserve">Yatırımlarda bu dipnotlardaki çekinceler de dikkate alınarak yatırıma kalkışılmalıdır. </w:t>
      </w:r>
    </w:p>
    <w:p w:rsidR="00CC5C66" w:rsidRDefault="00543036">
      <w:r>
        <w:t xml:space="preserve">Görüldüğü gibi Bursa’da yapılacak yatırımlar en az 1.000.000 (bir milyon ) liradan başlamaktadır. </w:t>
      </w:r>
    </w:p>
    <w:p w:rsidR="00CC5C66" w:rsidRDefault="00543036">
      <w:r>
        <w:t xml:space="preserve">Herhangi bir yatırımcı, yapmayı düşündüğü yatırım konusunu yukarıdaki tablodan bularak, hizasındaki asgari yatırım tutarını da bularak ona göre yatırıma kalkışmalıdır. </w:t>
      </w:r>
    </w:p>
    <w:p w:rsidR="00043A7F" w:rsidRDefault="00043A7F"/>
    <w:p w:rsidR="00043A7F" w:rsidRDefault="00043A7F"/>
    <w:p w:rsidR="00043A7F" w:rsidRDefault="00043A7F"/>
    <w:p w:rsidR="00043A7F" w:rsidRDefault="00043A7F"/>
    <w:p w:rsidR="00043A7F" w:rsidRDefault="00043A7F"/>
    <w:p w:rsidR="00454402" w:rsidRDefault="00454402"/>
    <w:p w:rsidR="00B37EE7" w:rsidRDefault="00543036">
      <w:r>
        <w:t xml:space="preserve">Bursa’da yatırımlara verilen </w:t>
      </w:r>
      <w:r w:rsidR="00B37EE7">
        <w:t xml:space="preserve">Destekler: </w:t>
      </w:r>
    </w:p>
    <w:p w:rsidR="00B37EE7" w:rsidRDefault="00B37EE7"/>
    <w:p w:rsidR="00B37EE7" w:rsidRDefault="00B37EE7" w:rsidP="0064478F">
      <w:pPr>
        <w:pStyle w:val="ListeParagraf"/>
        <w:numPr>
          <w:ilvl w:val="0"/>
          <w:numId w:val="1"/>
        </w:numPr>
      </w:pPr>
      <w:r>
        <w:t xml:space="preserve">KDV istisnası  ve iadesi </w:t>
      </w:r>
    </w:p>
    <w:p w:rsidR="00B37EE7" w:rsidRDefault="00B37EE7" w:rsidP="0064478F">
      <w:pPr>
        <w:pStyle w:val="ListeParagraf"/>
        <w:numPr>
          <w:ilvl w:val="0"/>
          <w:numId w:val="1"/>
        </w:numPr>
      </w:pPr>
      <w:r>
        <w:t>Faiz desteği</w:t>
      </w:r>
    </w:p>
    <w:p w:rsidR="00B37EE7" w:rsidRDefault="0064478F" w:rsidP="00571C5C">
      <w:pPr>
        <w:pStyle w:val="ListeParagraf"/>
        <w:numPr>
          <w:ilvl w:val="0"/>
          <w:numId w:val="1"/>
        </w:numPr>
      </w:pPr>
      <w:r>
        <w:t>Si</w:t>
      </w:r>
      <w:r w:rsidR="00B37EE7">
        <w:t>gorta primi işveren hissesi desteği</w:t>
      </w:r>
      <w:r w:rsidR="00543036">
        <w:t xml:space="preserve"> (</w:t>
      </w:r>
      <w:r w:rsidR="00B37EE7">
        <w:t xml:space="preserve"> 2 yıl</w:t>
      </w:r>
      <w:r w:rsidR="00543036">
        <w:t xml:space="preserve"> süreyle ve e</w:t>
      </w:r>
      <w:r>
        <w:t xml:space="preserve">n fazla %10 dur. Büyük ölçekli yatırımlarda %3 dür. </w:t>
      </w:r>
      <w:r w:rsidR="00543036">
        <w:t>)</w:t>
      </w:r>
    </w:p>
    <w:p w:rsidR="00543036" w:rsidRDefault="0064478F" w:rsidP="00543036">
      <w:pPr>
        <w:pStyle w:val="ListeParagraf"/>
        <w:numPr>
          <w:ilvl w:val="0"/>
          <w:numId w:val="4"/>
        </w:numPr>
      </w:pPr>
      <w:r>
        <w:t xml:space="preserve"> Sigorta primi desteği</w:t>
      </w:r>
    </w:p>
    <w:p w:rsidR="0064478F" w:rsidRDefault="0064478F" w:rsidP="00543036">
      <w:pPr>
        <w:pStyle w:val="ListeParagraf"/>
        <w:numPr>
          <w:ilvl w:val="0"/>
          <w:numId w:val="4"/>
        </w:numPr>
      </w:pPr>
      <w:r>
        <w:t xml:space="preserve">Vergi  indirimi </w:t>
      </w:r>
    </w:p>
    <w:p w:rsidR="0064478F" w:rsidRDefault="0064478F" w:rsidP="0064478F">
      <w:pPr>
        <w:pStyle w:val="ListeParagraf"/>
      </w:pPr>
      <w:r>
        <w:t xml:space="preserve">Yatırıma katkı oranı %15 </w:t>
      </w:r>
    </w:p>
    <w:p w:rsidR="0064478F" w:rsidRDefault="0064478F" w:rsidP="0064478F">
      <w:pPr>
        <w:pStyle w:val="ListeParagraf"/>
      </w:pPr>
      <w:r>
        <w:t xml:space="preserve">Kurumlar vergisi indirim oranı %50 </w:t>
      </w:r>
    </w:p>
    <w:p w:rsidR="0064478F" w:rsidRDefault="0064478F" w:rsidP="0064478F">
      <w:pPr>
        <w:pStyle w:val="ListeParagraf"/>
      </w:pPr>
      <w:r>
        <w:t>Organize sanayi bölgelerinde YKO %20-KV indirimi %55 olur</w:t>
      </w:r>
    </w:p>
    <w:p w:rsidR="0064478F" w:rsidRDefault="0064478F" w:rsidP="00543036">
      <w:pPr>
        <w:pStyle w:val="ListeParagraf"/>
        <w:numPr>
          <w:ilvl w:val="0"/>
          <w:numId w:val="4"/>
        </w:numPr>
      </w:pPr>
      <w:r>
        <w:t xml:space="preserve">Bu maddeye göre hesaplanacak yatırıma katkı tutarına mahsuben gerçekleştirilen yatırım harcaması tutarını aşmamak ve toplam yatırıma katkı tutarının %80 yüzde seksenini geçmemek üzere yatırım döneminde yatırımcının diğer faaliyetlerinden elde edilen kazançlarına indirimli gelir veya kurumlar vergisi uygulanabilir. </w:t>
      </w:r>
    </w:p>
    <w:p w:rsidR="0064478F" w:rsidRDefault="000C4987" w:rsidP="00543036">
      <w:pPr>
        <w:pStyle w:val="ListeParagraf"/>
        <w:numPr>
          <w:ilvl w:val="0"/>
          <w:numId w:val="4"/>
        </w:numPr>
      </w:pPr>
      <w:r>
        <w:t xml:space="preserve">GEÇİCİ MADDE </w:t>
      </w:r>
    </w:p>
    <w:p w:rsidR="000C4987" w:rsidRDefault="000C4987" w:rsidP="000C4987">
      <w:pPr>
        <w:pStyle w:val="ListeParagraf"/>
        <w:rPr>
          <w:b/>
        </w:rPr>
      </w:pPr>
      <w:r>
        <w:t xml:space="preserve">Bu karar ve daha önceki kararlara istinaden imalat sanayiine yönelik us-97 kodu 15-37 arasındaki yatırımlar için düzenlenen yatırım teşvik belgeleri kapsamında </w:t>
      </w:r>
      <w:r>
        <w:rPr>
          <w:b/>
        </w:rPr>
        <w:t xml:space="preserve">1.1.2017-31.12.2017 TARİHLERİ ARASINDA GERÇEKLEŞTİRİLECEK YATIRIM HARCAMALARI İÇİN: </w:t>
      </w:r>
    </w:p>
    <w:p w:rsidR="000C4987" w:rsidRDefault="000C4987" w:rsidP="000C4987">
      <w:pPr>
        <w:pStyle w:val="ListeParagraf"/>
        <w:numPr>
          <w:ilvl w:val="0"/>
          <w:numId w:val="2"/>
        </w:numPr>
        <w:rPr>
          <w:b/>
        </w:rPr>
      </w:pPr>
      <w:r>
        <w:rPr>
          <w:b/>
        </w:rPr>
        <w:t xml:space="preserve">Bina inşaat harcamalarında KDV iadesi </w:t>
      </w:r>
    </w:p>
    <w:p w:rsidR="000C4987" w:rsidRDefault="000C4987" w:rsidP="000C4987">
      <w:pPr>
        <w:pStyle w:val="ListeParagraf"/>
        <w:numPr>
          <w:ilvl w:val="0"/>
          <w:numId w:val="2"/>
        </w:numPr>
        <w:rPr>
          <w:b/>
        </w:rPr>
      </w:pPr>
      <w:r>
        <w:rPr>
          <w:b/>
        </w:rPr>
        <w:t xml:space="preserve">Bölgesel büyük ölçekli ve stratejik teşvik uygulamaları kapsamında vergi indirimi desteğinde uygulanacak yatırıma katkı oranları her bir bölgede geçerli olan yatırıma katkı oranın 15 puan ilave edilmek suretiyle, kurumlar vergisi veya gelir vergisi indirimi tüm bölgelerde YÜZDE YÜZ (%100) ORANINDA VE YATIRIMA YAKTI TUTARININ YATIRIM DÖNEMİNDE YATIRIMCININ DOİĞER FAALİYETLERİNDEN ELDE ETTİĞİ KAZANÇLARINA UYGULANACAK ORANI %100 YÜZDE YÜZ OLMAK ÜZERE </w:t>
      </w:r>
    </w:p>
    <w:p w:rsidR="000C4987" w:rsidRPr="000C4987" w:rsidRDefault="000C4987" w:rsidP="000C4987">
      <w:pPr>
        <w:pStyle w:val="ListeParagraf"/>
        <w:ind w:left="1080"/>
        <w:rPr>
          <w:b/>
        </w:rPr>
      </w:pPr>
      <w:r>
        <w:rPr>
          <w:b/>
        </w:rPr>
        <w:t xml:space="preserve">TEŞVİK BELGESİ ÜZERİNDE HERHANGİ BİR İŞLEM YAPILMAKSUZUN UYGULANIR. </w:t>
      </w:r>
    </w:p>
    <w:p w:rsidR="0064478F" w:rsidRDefault="0064478F" w:rsidP="0064478F">
      <w:pPr>
        <w:pStyle w:val="ListeParagraf"/>
      </w:pPr>
    </w:p>
    <w:p w:rsidR="00454402" w:rsidRDefault="008D1FAB" w:rsidP="008D1FAB">
      <w:pPr>
        <w:pStyle w:val="ListeParagraf"/>
      </w:pPr>
      <w:r>
        <w:lastRenderedPageBreak/>
        <w:t xml:space="preserve">Yatırım konularında diğer bilgiler de aşağıdaki tablolarda verilmiştir. </w:t>
      </w:r>
    </w:p>
    <w:p w:rsidR="00454402" w:rsidRDefault="00454402"/>
    <w:p w:rsidR="00454402" w:rsidRDefault="00B37EE7">
      <w:r>
        <w:t xml:space="preserve">BÜYÜK ÖLÇEKLİ YATIRIMLAR ŞUNLARDIR.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Sıra | Yatırım Konuları                     | Asgari Sabit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No   |                                      | Yatırım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                                      | Tutarları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                                      | (Milyon TL)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1    | Rafine Edilmiş Petrol Ürünleri       | 1000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 İmalatı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2    | Kimyasal Madde ve Ürünlerin İmalatı  | 200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3    | Liman ve Liman Hizmetleri Yatırımları| 200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  ile Havaalanı Yatırımları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4    | Motorlu Kara Taşıtlarının İmalatı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 Yatırımları: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 a) Motorlu Kara Taşıtları Ana        | 200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 Sanayi Yatırımları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 b) Motorlu Kara Taşıtları Yan        | 50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 Sanayi Yatırımları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5    | Demiryolu ve Tramvay Lokomotifleri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 ve/veya Vagon İmalatı Yatırımları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6    | Transit Boru Hattıyla Taşımacılık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 Hizmetleri Yatırımları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7    | Elektronik Sanayi Yatırımları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8    | Tıbbi Alet, Hassas ve Optik Aletler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 İmalatı Yatırımları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50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9    | İlaç Üretimi Yatırımları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10   | Hava ve Uzay Taşıtları ve/veya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 Parçaları İmalatı Yatırımları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11   | Makine (Elektrikli Makine ve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 Cihazlar Dahil) İmalatı Yatırımları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12   | Metal Üretimine Yönelik Yatırımlar: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 [Maden Kanununda belirtilen IV/c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 grubu metalik madenlerin cevher ve/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 veya konsantresinden nihai metal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 üretimine yönelik yatırımlar (bu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 tesislere entegre madencilik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      | yatırımları dahil)]                  |                |</w:t>
      </w:r>
    </w:p>
    <w:p w:rsidR="001A14FD" w:rsidRPr="001A14FD" w:rsidRDefault="001A14FD" w:rsidP="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1A14FD">
        <w:rPr>
          <w:rFonts w:ascii="Courier New" w:eastAsia="Times New Roman" w:hAnsi="Courier New" w:cs="Courier New"/>
          <w:sz w:val="20"/>
          <w:szCs w:val="20"/>
          <w:lang w:eastAsia="tr-TR"/>
        </w:rPr>
        <w:t>|------|--------------------------------------|----------------|</w:t>
      </w:r>
    </w:p>
    <w:p w:rsidR="008D1FAB" w:rsidRDefault="008D1FAB" w:rsidP="001A14FD">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8D1FAB" w:rsidRDefault="008D1FAB" w:rsidP="001A14FD">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1A14FD" w:rsidRPr="001A14FD" w:rsidRDefault="001A14FD" w:rsidP="001A14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A14FD">
        <w:rPr>
          <w:rFonts w:ascii="Times New Roman" w:eastAsia="Times New Roman" w:hAnsi="Times New Roman" w:cs="Times New Roman"/>
          <w:b/>
          <w:bCs/>
          <w:sz w:val="24"/>
          <w:szCs w:val="24"/>
          <w:lang w:eastAsia="tr-TR"/>
        </w:rPr>
        <w:lastRenderedPageBreak/>
        <w:t>TEŞVİK EDİLMEYECEK VEYA TEŞVİKİ BELİRLİ ŞARTLARA BAĞLI</w:t>
      </w:r>
    </w:p>
    <w:p w:rsidR="001A14FD" w:rsidRPr="001A14FD" w:rsidRDefault="001A14FD" w:rsidP="001A14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A14FD">
        <w:rPr>
          <w:rFonts w:ascii="Times New Roman" w:eastAsia="Times New Roman" w:hAnsi="Times New Roman" w:cs="Times New Roman"/>
          <w:b/>
          <w:bCs/>
          <w:sz w:val="24"/>
          <w:szCs w:val="24"/>
          <w:lang w:eastAsia="tr-TR"/>
        </w:rPr>
        <w:t>YATIRIM KONULARI</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b/>
          <w:bCs/>
          <w:sz w:val="24"/>
          <w:szCs w:val="24"/>
          <w:lang w:eastAsia="tr-TR"/>
        </w:rPr>
        <w:t>     </w:t>
      </w:r>
      <w:r w:rsidRPr="001A14FD">
        <w:rPr>
          <w:rFonts w:ascii="Times New Roman" w:eastAsia="Times New Roman" w:hAnsi="Times New Roman" w:cs="Times New Roman"/>
          <w:b/>
          <w:bCs/>
          <w:sz w:val="24"/>
          <w:szCs w:val="24"/>
          <w:u w:val="single"/>
          <w:lang w:eastAsia="tr-TR"/>
        </w:rPr>
        <w:t xml:space="preserve">I - TEŞVİK EDİLMEYECEK YATIRIMLAR </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b/>
          <w:bCs/>
          <w:sz w:val="24"/>
          <w:szCs w:val="24"/>
          <w:lang w:eastAsia="tr-TR"/>
        </w:rPr>
        <w:t>     A. TARIM VE TARIMSAL SANAYİ</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1- Un, irmik (makarna imalatı ile entegre irmik yatırımları ve mısır irmiği yatırımları hariç), yem (balık unu, balık yağı, balık yemi ve entegre hayvancılık üretimi içindeki yem üretimi hariç), mısır nişastası ve nişasta bazlı şeker (nişasta sütünden, münhasıran kristal fruktoz üretimine yönelik yatırımlar hariç).</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2- Dışarıya yemek hizmeti sunan işletmeler (hazır yemek).</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3- Küp şeker.</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4- 5 dekarın altındaki seracılık yatırımları.</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5- Bitkisel üretim (5 dekar ve üstü seracılık yatırımları, kültür mantarı yetiştiriciliği ve entegre hayvancılık yatırımları içerisindeki yem bitkileri yetiştiriciliği  hariç).</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6- Bölgesel uygulamalar kapsamında teşvik edilecek entegre hayvancılık yatırımları ve şartlı desteklenecek hayvancılık yatırımları dışındaki hayvancılık yatırımları.</w:t>
      </w:r>
    </w:p>
    <w:p w:rsidR="001A14FD" w:rsidRPr="001A14FD" w:rsidRDefault="008D1FAB" w:rsidP="008D1FA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1A14FD" w:rsidRPr="001A14FD">
        <w:rPr>
          <w:rFonts w:ascii="Times New Roman" w:eastAsia="Times New Roman" w:hAnsi="Times New Roman" w:cs="Times New Roman"/>
          <w:sz w:val="24"/>
          <w:szCs w:val="24"/>
          <w:lang w:eastAsia="tr-TR"/>
        </w:rPr>
        <w:t>7- 5 ton/gün ve altında üretim kapasitesine sahip süt işleme yatırımları.</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b/>
          <w:bCs/>
          <w:sz w:val="24"/>
          <w:szCs w:val="24"/>
          <w:lang w:eastAsia="tr-TR"/>
        </w:rPr>
        <w:t xml:space="preserve">     B.  İMALAT, ENERJİ VE MADENCİLİK YATIRIMLARI </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1- Tuğla ve kiremit üretimine yönelik modernizasyon cinsi dışındaki yatırımlar.</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2- Kütlü pamuk işleme yatırımları.</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3- İplik ve dokuma (yün ipliği, 15 Milyon Türk Lirasının üzerindeki iplik yatırımları, 5 Milyon Türk Lirasının üzerindeki dokuma yatırımları, akıllı ve çok fonksiyonlu teknik tekstil, halı, tafting, dokunmamış/örülmemiş kumaş ve çuval üretimine yönelik yatırımlar hariç) konularında modernizasyon yatırımları dışındaki yatırımlar.</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4- Doğalgaza dayalı elektrik üretimi yatırımları (19/6/2012 tarihinden önce Enerji Piyasası Düzenleme Kurumundan lisansı alınmış olan komple yeni ve tevsi yatırımlar ile özgül yakıt tüketimini asgari %15 oranında azaltmaya yönelik modernizasyon cinslerindeki yatırımlar hariç).</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5- Rödovans sözleşmesine istinaden gerçekleştirilecek madencilik yatırımları (Kamu kurum ve kuruluşları veya bunların doğrudan iştirakleri ile yapılan anlaşmalara istinaden kamuya ait maden sahalarında yapılan madencilik yatırımları bu kapsamda değerlendirilmez).</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6- .............................................................</w:t>
      </w:r>
    </w:p>
    <w:p w:rsidR="001A14FD" w:rsidRPr="001A14FD" w:rsidRDefault="001A14FD" w:rsidP="001A14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lastRenderedPageBreak/>
        <w:t>7- Ek-5'de yer alan demir çelik ürünlerinin üretimine yönelik yatırımlar (Ancak, bu üretim konularında aşağıdaki kriterleri birlikte sağlayan işletmeler sadece genel teşvik sisteminden desteklenebilir.</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a) Ortaklık yapısındaki bir veya birden fazla tüzel kişinin veya kamu kurum ve kuruluşunun hisseleri  toplamının %25 veya daha fazla olmaması.</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b) Başka bir işletmenin sermayesinin %25 veya daha fazlasına sahip olmaması.</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c) Çalışan sayısı yıllık 250 kişiden az olması.</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ç) Yıllık net satış hasılatı 50 milyon Avro veya mali bilançosu değeri 43 milyon Avro karşılığı Türk Lirasını aşmaması.</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Bu kriterler, 2009/15199 sayılı Bakanlar Kurulu Kararına istinaden düzenlenen belgelere de uygulanabilir).</w:t>
      </w:r>
    </w:p>
    <w:p w:rsidR="001A14FD" w:rsidRPr="001A14FD" w:rsidRDefault="001A14FD" w:rsidP="001A14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8- Sentetik elyaf veya sentetik ipliğin ekstrüzyon yöntemiyle üretimine yönelik modernizasyon cinsi dışındaki yatırımlar (Ancak, söz konusu modernizasyon yatırımları ile 7 nci maddede belirtilen kriterleri birlikte sağlayan işletmelerin sentetik elyaf veya sentetik ipliğin ekstrüzyon yöntemiyle üretimine yönelik yatırımları sadece genel teşvik sisteminden desteklenebilir).</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b/>
          <w:bCs/>
          <w:sz w:val="24"/>
          <w:szCs w:val="24"/>
          <w:lang w:eastAsia="tr-TR"/>
        </w:rPr>
        <w:t>     C. HİZMETLER SEKTÖRÜ</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1- Okul öncesi, ilkokul, ortaokul, lise, yüksekokul, üniversite, yükseköğretim ve teknik ve mesleki öğretim dışında kalan eğitim yatırımları ile yetişkinlerin eğitilmesine yönelik (kurslar, dershaneler vb.) yatırımlar.</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2- Poliklinik, muayenehane ve müşterek muayenehane yatırımları.</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3- Turizm yatırım/işletme belgeli oteller, butik oteller, tatil köyleri, özel konaklama tesisleri ve dağ/yayla evleri dışında kalan turizm konaklama tesisleri.</w:t>
      </w:r>
    </w:p>
    <w:p w:rsidR="001A14FD" w:rsidRPr="001A14FD" w:rsidRDefault="001A14FD" w:rsidP="001A14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4- Ülke genelinde yayım yapan günlük gazete basım hizmetleri, televizyon/radyo yayıncılığı ve baskı, basım, matbaa ve ambalaj yatırımları  dışındaki basın ve yayın yatırımları.</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5- Sinema salonu yatırımları.</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6- Müteahhitlik hizmetleri ve konut üretimine yönelik yatırımlar.</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7- Yolcu ve yük taşımacılığına yönelik otobüs ile çekici ve treyler yatırımları (Belediyelerin yapacakları yatırımlar hariç).</w:t>
      </w:r>
    </w:p>
    <w:p w:rsidR="001A14FD" w:rsidRPr="001A14FD" w:rsidRDefault="001A14FD" w:rsidP="001A14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8- Hipermarket, ticaret merkezi, alışveriş merkezi ve otopark yatırımları dâhil toptan ve perakende ticarete yönelik yatırımlar.</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9- Kara taşıtları bakım, onarım ve servis istasyonu yatırımları.</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10- Petrol ürünleri (LPG dâhil) dağıtım yatırımları, akaryakıt istasyonu yatırımları.</w:t>
      </w:r>
    </w:p>
    <w:p w:rsidR="001A14FD" w:rsidRPr="001A14FD" w:rsidRDefault="001A14FD" w:rsidP="008D1FAB">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lastRenderedPageBreak/>
        <w:t>11- Karayolları dinlenme tesisi yatırımları, mola noktaları.</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12- Lokantalar, kafeteryalar, eğlence yerleri, günübirlik tesisler, termal kür tesisleri, sağlıklı yaşam tesisleri, yüzme havuzları.</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13- Yat ithali yatırımları.</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14- Taşıt kiralama yatırımları.</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15- Halı yıkama yatırımları.</w:t>
      </w:r>
    </w:p>
    <w:p w:rsidR="001A14FD" w:rsidRPr="001A14FD" w:rsidRDefault="001A14FD" w:rsidP="001A14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16- Gayrimenkul kiralama ve iş faaliyetleri (Yazılım, AR-GE faaliyetleri, veri tabanı faaliyetleri, veri işleme, teknik test ve analiz faaliyetleri, ambalajlama faaliyetleri ile gösteri, sergi ve kongre faaliyetleri hariç).</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17- Finansal kiralama faaliyetleri hariç olmak üzere mali aracı kuruluşların yatırımları.</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18- Kapalı alanı 500 m</w:t>
      </w:r>
      <w:r w:rsidRPr="001A14FD">
        <w:rPr>
          <w:rFonts w:ascii="Times New Roman" w:eastAsia="Times New Roman" w:hAnsi="Times New Roman" w:cs="Times New Roman"/>
          <w:sz w:val="24"/>
          <w:szCs w:val="24"/>
          <w:vertAlign w:val="superscript"/>
          <w:lang w:eastAsia="tr-TR"/>
        </w:rPr>
        <w:t>2</w:t>
      </w:r>
      <w:r w:rsidRPr="001A14FD">
        <w:rPr>
          <w:rFonts w:ascii="Times New Roman" w:eastAsia="Times New Roman" w:hAnsi="Times New Roman" w:cs="Times New Roman"/>
          <w:sz w:val="24"/>
          <w:szCs w:val="24"/>
          <w:lang w:eastAsia="tr-TR"/>
        </w:rPr>
        <w:t>'nin altında olan soğuk hava deposu yatırımları.</w:t>
      </w:r>
    </w:p>
    <w:p w:rsidR="001A14FD" w:rsidRDefault="008D1FAB" w:rsidP="008D1FA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1A14FD" w:rsidRPr="001A14FD">
        <w:rPr>
          <w:rFonts w:ascii="Times New Roman" w:eastAsia="Times New Roman" w:hAnsi="Times New Roman" w:cs="Times New Roman"/>
          <w:sz w:val="24"/>
          <w:szCs w:val="24"/>
          <w:lang w:eastAsia="tr-TR"/>
        </w:rPr>
        <w:t>19- Komple yeni ve tevsi niteliğindeki tersane yatırımları.</w:t>
      </w:r>
    </w:p>
    <w:p w:rsidR="008D1FAB" w:rsidRPr="001A14FD" w:rsidRDefault="008D1FAB" w:rsidP="008D1FAB">
      <w:pPr>
        <w:spacing w:before="100" w:beforeAutospacing="1" w:after="100" w:afterAutospacing="1" w:line="240" w:lineRule="auto"/>
        <w:rPr>
          <w:rFonts w:ascii="Times New Roman" w:eastAsia="Times New Roman" w:hAnsi="Times New Roman" w:cs="Times New Roman"/>
          <w:sz w:val="24"/>
          <w:szCs w:val="24"/>
          <w:lang w:eastAsia="tr-TR"/>
        </w:rPr>
      </w:pP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w:t>
      </w:r>
      <w:r w:rsidRPr="001A14FD">
        <w:rPr>
          <w:rFonts w:ascii="Times New Roman" w:eastAsia="Times New Roman" w:hAnsi="Times New Roman" w:cs="Times New Roman"/>
          <w:b/>
          <w:bCs/>
          <w:sz w:val="24"/>
          <w:szCs w:val="24"/>
          <w:u w:val="single"/>
          <w:lang w:eastAsia="tr-TR"/>
        </w:rPr>
        <w:t>II - TEŞVİKİ BELİRLİ ŞARTLARA BAĞLI YATIRIM KONULARI</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b/>
          <w:bCs/>
          <w:sz w:val="24"/>
          <w:szCs w:val="24"/>
          <w:lang w:eastAsia="tr-TR"/>
        </w:rPr>
        <w:t>     A. TARIM VE TARIMSAL SANAYİ</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1- Süt yönlü büyükbaş entegre yatırımlarında  asgari 150 büyükbaş.</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2- Et yönlü büyükbaş entegre yatırımlarında asgari 150 büyükbaş.</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3- Damızlık büyükbaş entegre  hayvan yetiştiriciliğinde (et/süt yönlü) asgari 150 büyükbaş/dönem.</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4- Kanatlı entegre yatırımlarında  100.000 adet/dönem.</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5- Süt ve et yönlü küçükbaş entegre yatırımlarında (damızlık dâhil) 1.000 küçükbaş/dönem</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şartı aranır.</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b/>
          <w:bCs/>
          <w:sz w:val="24"/>
          <w:szCs w:val="24"/>
          <w:lang w:eastAsia="tr-TR"/>
        </w:rPr>
        <w:t>     B.  İMALAT SANAYİ  </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1- Düz örme konusunda yapılacak yatırımlarda toplam makine sistem sayısının asgari 60 olması şartı aranır.</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2- Hazır beton yatırımlarında asgari 100 m</w:t>
      </w:r>
      <w:r w:rsidRPr="001A14FD">
        <w:rPr>
          <w:rFonts w:ascii="Times New Roman" w:eastAsia="Times New Roman" w:hAnsi="Times New Roman" w:cs="Times New Roman"/>
          <w:sz w:val="24"/>
          <w:szCs w:val="24"/>
          <w:vertAlign w:val="superscript"/>
          <w:lang w:eastAsia="tr-TR"/>
        </w:rPr>
        <w:t>3</w:t>
      </w:r>
      <w:r w:rsidRPr="001A14FD">
        <w:rPr>
          <w:rFonts w:ascii="Times New Roman" w:eastAsia="Times New Roman" w:hAnsi="Times New Roman" w:cs="Times New Roman"/>
          <w:sz w:val="24"/>
          <w:szCs w:val="24"/>
          <w:lang w:eastAsia="tr-TR"/>
        </w:rPr>
        <w:t>/saat ve üzerindeki komple yeni yatırımlar için teşvik belgesi düzenlenebilir.  </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b/>
          <w:bCs/>
          <w:sz w:val="24"/>
          <w:szCs w:val="24"/>
          <w:lang w:eastAsia="tr-TR"/>
        </w:rPr>
        <w:t>     C. HİZMETLER SEKTÖRÜ</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b/>
          <w:bCs/>
          <w:sz w:val="24"/>
          <w:szCs w:val="24"/>
          <w:lang w:eastAsia="tr-TR"/>
        </w:rPr>
        <w:lastRenderedPageBreak/>
        <w:t>     </w:t>
      </w:r>
      <w:r w:rsidRPr="001A14FD">
        <w:rPr>
          <w:rFonts w:ascii="Times New Roman" w:eastAsia="Times New Roman" w:hAnsi="Times New Roman" w:cs="Times New Roman"/>
          <w:sz w:val="24"/>
          <w:szCs w:val="24"/>
          <w:lang w:eastAsia="tr-TR"/>
        </w:rPr>
        <w:t>1- Bir veya birkaç yerde gümrükleme ve sigortacılık hizmetlerinin de sunulduğu antrepo, elleçleme-paketleme ve otomasyon hizmetlerini birlikte içeren, asgari toplam kapalı alanı 10.000 m2 olan entegre lojistik yatırımları için</w:t>
      </w:r>
      <w:r w:rsidRPr="001A14FD">
        <w:rPr>
          <w:rFonts w:ascii="Times New Roman" w:eastAsia="Times New Roman" w:hAnsi="Times New Roman" w:cs="Times New Roman"/>
          <w:color w:val="000080"/>
          <w:sz w:val="24"/>
          <w:szCs w:val="24"/>
          <w:lang w:eastAsia="tr-TR"/>
        </w:rPr>
        <w:t>,</w:t>
      </w:r>
      <w:r w:rsidRPr="001A14FD">
        <w:rPr>
          <w:rFonts w:ascii="Times New Roman" w:eastAsia="Times New Roman" w:hAnsi="Times New Roman" w:cs="Times New Roman"/>
          <w:sz w:val="24"/>
          <w:szCs w:val="24"/>
          <w:lang w:eastAsia="tr-TR"/>
        </w:rPr>
        <w:t xml:space="preserve"> Ulaştırma, Denizcilik ve Haberleşme Bakanlığından alınmış L2 belgesinin yatırım süresi sonuna kadar ibraz edilmesi kaydıyla,  teşvik belgesi düzenlenebilir. Söz konusu teşvik belgeleri kapsamına yük taşımacılığına yönelik araçlar dâhil edilmez.</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2- Boru hattıyla taşımacılık, petrol ve doğalgaz ürünleri, dolum ve depolama tesisi yatırımlarında dağıtım araçları ve tüpler hariç olmak üzere, sadece sabit tesise yönelik harcamalar için teşvik belgesi düzenlenebilir.</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3-Kültür yatırımları için, Kültür ve Turizm Bakanlığından alınacak kültür belgesine istinaden teşvik belgesi düzenlenebilir. Ancak, münhasıran bu amaçla inşa edilenler dışında, yeme-içme, spor, eğlence ve satış üniteleri gibi birimler kapsama dâhil edilmez.</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4-Kültür ve Turizm Bakanlığından alınacak turizm belgesini haiz eğlence merkezi ve temalı tesis gibi konaklama içermeyen turizm yatırımları teşvik belgesine bağlanabilir. Ancak, münhasıran bu amaçla inşa edilenler dışında, yeme-içme, spor, eğlence ve satış üniteleri gibi birimler kapsama dâhil edilmez.</w:t>
      </w:r>
    </w:p>
    <w:p w:rsidR="001A14FD" w:rsidRPr="001A14FD" w:rsidRDefault="001A14FD" w:rsidP="001A14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5-Kültür ve Turizm Bakanlığından alınacak Kültür veya Turizm Belgesini haiz fuar, kongre, sergi ve gösteri merkezi  yatırımları için teşvik belgesi düzenlenebilir.  Fuar ve sergi merkezlerinde, otopark hariç asgari kapalı alanın 5000 m</w:t>
      </w:r>
      <w:r w:rsidRPr="001A14FD">
        <w:rPr>
          <w:rFonts w:ascii="Times New Roman" w:eastAsia="Times New Roman" w:hAnsi="Times New Roman" w:cs="Times New Roman"/>
          <w:sz w:val="24"/>
          <w:szCs w:val="24"/>
          <w:vertAlign w:val="superscript"/>
          <w:lang w:eastAsia="tr-TR"/>
        </w:rPr>
        <w:t>2</w:t>
      </w:r>
      <w:r w:rsidRPr="001A14FD">
        <w:rPr>
          <w:rFonts w:ascii="Times New Roman" w:eastAsia="Times New Roman" w:hAnsi="Times New Roman" w:cs="Times New Roman"/>
          <w:sz w:val="24"/>
          <w:szCs w:val="24"/>
          <w:lang w:eastAsia="tr-TR"/>
        </w:rPr>
        <w:t>, kongre merkezlerinde asgari koltuk sayısının 1000, gösteri merkezlerinde ise  asgari koltuk sayısının 2500 olması şartı aranır.</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6- Spor tesisi yatırımlarında asgari 10 Milyon TL  sabit yatırım şartı aranır.</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7- Havaalanı yer hizmeti yatırımlarında teşvik belgesi kapsamına trafiğe çıkmayan ve sadece apronda kullanılan motorlu taşıtlar dâhil edilebilir. Binek otomobilleri proje kapsamına dâhil edilmez.</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8- Havayolu işletmeciliği ve kargo taşımacılığı yatırımlarında temin edilecek uçaklarda birim başına asgari kapasitenin 50 koltuk, kargo uçaklarında ise asgari kargo kapasitesinin 30.000 kg olması şartı aranır.  Faaliyet konusu bizatihi havayolu işletmeciliği ve/veya kargo taşımacılığı olan yatırımlar dışında genel amaçlı ve hava taksi işletmeciliği amaçlı yatırımlar için teşvik belgesi düzenlenmez.</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9- Uydu, telsiz, kablo vb. iletişim ortamlarından gelen haberleşme, radyo, televizyon ve veri sinyallerini birleştirip tek bir paket halinde nihai tüketiciye iletimini sağlayan hizmet yatırımlarında nihai hizmeti alanlar tarafından kullanılan yatırım malları destek unsurlarından faydalandırılmaz.</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10- Kamu kurum ve kuruluşları, belediyeler, il özel idareleri, birlik, kooperatif vb. kuruluşların görev alanlarına yönelik olarak yapacakları yatırımlar proje bazında değerlendirilerek teşvik belgesi düzenlenebilir.</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11- Sadece vinç hizmetlerine yönelik yatırımlarda her bir vinç için asgari 100 ton kaldırma kapasitesi aranır. 500 ton kaldırma kapasitesinin altında kullanılmış vinç ithaline izin verilmez.</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lastRenderedPageBreak/>
        <w:t>     12- Çamaşır yıkama ve kurutma yatırımlarında asgari 2 Milyon TL sabit yatırım şartı aranır.</w:t>
      </w:r>
    </w:p>
    <w:p w:rsidR="001A14FD" w:rsidRPr="001A14FD" w:rsidRDefault="001A14FD" w:rsidP="001A14FD">
      <w:pPr>
        <w:spacing w:before="100" w:beforeAutospacing="1" w:after="100" w:afterAutospacing="1" w:line="240" w:lineRule="auto"/>
        <w:rPr>
          <w:rFonts w:ascii="Times New Roman" w:eastAsia="Times New Roman" w:hAnsi="Times New Roman" w:cs="Times New Roman"/>
          <w:sz w:val="24"/>
          <w:szCs w:val="24"/>
          <w:lang w:eastAsia="tr-TR"/>
        </w:rPr>
      </w:pPr>
      <w:r w:rsidRPr="001A14FD">
        <w:rPr>
          <w:rFonts w:ascii="Times New Roman" w:eastAsia="Times New Roman" w:hAnsi="Times New Roman" w:cs="Times New Roman"/>
          <w:sz w:val="24"/>
          <w:szCs w:val="24"/>
          <w:lang w:eastAsia="tr-TR"/>
        </w:rPr>
        <w:t>     13- Yat inşa yatırımlarında teşvik belgesi düzenlenebilmesi için yat boyunun asgari 24 metre olması şartı aranır.</w:t>
      </w:r>
    </w:p>
    <w:p w:rsidR="000110D7" w:rsidRDefault="000110D7"/>
    <w:p w:rsidR="008D1FAB" w:rsidRDefault="008D1FAB">
      <w:r>
        <w:tab/>
        <w:t xml:space="preserve">Bursa bölgesinde yapılabilecek yatırımlar, bu yatırımların cinsi, kapasitesi, asgari yatırım tutarı, kabul edilmeyen yatırımlar listesi yazımıza konu edilmiş olup yatırımcıların bu teşviklerden faydalanabilmek için en kısa zamanda teşvik belgesi alarak yatırım teşviklerinden faydalanmasını tavsiye etmekteyiz. </w:t>
      </w:r>
    </w:p>
    <w:p w:rsidR="008D1FAB" w:rsidRDefault="008D1FAB"/>
    <w:p w:rsidR="008D1FAB" w:rsidRDefault="008D1FAB"/>
    <w:p w:rsidR="008D1FAB" w:rsidRDefault="008D1FAB">
      <w:r>
        <w:tab/>
      </w:r>
      <w:r>
        <w:tab/>
      </w:r>
      <w:r>
        <w:tab/>
      </w:r>
      <w:r>
        <w:tab/>
      </w:r>
      <w:r>
        <w:tab/>
      </w:r>
      <w:r>
        <w:tab/>
      </w:r>
      <w:r>
        <w:tab/>
      </w:r>
      <w:r>
        <w:tab/>
        <w:t>Cevdet Akçakoca</w:t>
      </w:r>
    </w:p>
    <w:p w:rsidR="008D1FAB" w:rsidRDefault="008D1FAB">
      <w:r>
        <w:tab/>
      </w:r>
      <w:r>
        <w:tab/>
      </w:r>
      <w:r>
        <w:tab/>
      </w:r>
      <w:r>
        <w:tab/>
      </w:r>
      <w:r>
        <w:tab/>
      </w:r>
      <w:r>
        <w:tab/>
      </w:r>
      <w:r>
        <w:tab/>
      </w:r>
      <w:r>
        <w:tab/>
        <w:t xml:space="preserve">Bağımsız Denetçi </w:t>
      </w:r>
    </w:p>
    <w:p w:rsidR="008D1FAB" w:rsidRDefault="008D1FAB">
      <w:r>
        <w:tab/>
      </w:r>
      <w:r>
        <w:tab/>
      </w:r>
      <w:r>
        <w:tab/>
      </w:r>
      <w:r>
        <w:tab/>
      </w:r>
      <w:r>
        <w:tab/>
      </w:r>
      <w:r>
        <w:tab/>
      </w:r>
      <w:r>
        <w:tab/>
      </w:r>
      <w:r>
        <w:tab/>
        <w:t>Yeminli Mali Müşavir</w:t>
      </w:r>
    </w:p>
    <w:sectPr w:rsidR="008D1FA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24B" w:rsidRDefault="0000024B" w:rsidP="000110D7">
      <w:pPr>
        <w:spacing w:after="0" w:line="240" w:lineRule="auto"/>
      </w:pPr>
      <w:r>
        <w:separator/>
      </w:r>
    </w:p>
  </w:endnote>
  <w:endnote w:type="continuationSeparator" w:id="0">
    <w:p w:rsidR="0000024B" w:rsidRDefault="0000024B" w:rsidP="0001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24B" w:rsidRDefault="0000024B" w:rsidP="000110D7">
      <w:pPr>
        <w:spacing w:after="0" w:line="240" w:lineRule="auto"/>
      </w:pPr>
      <w:r>
        <w:separator/>
      </w:r>
    </w:p>
  </w:footnote>
  <w:footnote w:type="continuationSeparator" w:id="0">
    <w:p w:rsidR="0000024B" w:rsidRDefault="0000024B" w:rsidP="00011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D7" w:rsidRDefault="000110D7">
    <w:pPr>
      <w:pStyle w:val="stbilgi"/>
      <w:jc w:val="right"/>
      <w:rPr>
        <w:color w:val="8496B0" w:themeColor="text2" w:themeTint="99"/>
        <w:sz w:val="24"/>
        <w:szCs w:val="24"/>
      </w:rPr>
    </w:pPr>
    <w:r>
      <w:rPr>
        <w:noProof/>
        <w:color w:val="8496B0" w:themeColor="text2" w:themeTint="99"/>
        <w:sz w:val="24"/>
        <w:szCs w:val="24"/>
        <w:lang w:eastAsia="tr-TR"/>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Serbest Biçimli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Serbest Biçimli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Serbest Biçimli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Serbest Biçimli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Serbest Biçimli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Metin Kutusu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10D7" w:rsidRDefault="000110D7">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C85042">
                              <w:rPr>
                                <w:noProof/>
                                <w:color w:val="8496B0" w:themeColor="text2" w:themeTint="99"/>
                                <w:sz w:val="24"/>
                                <w:szCs w:val="24"/>
                              </w:rPr>
                              <w:t>1</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">
              <v:shape id="Serbest Biçimli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Serbest Biçimli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592679;0,592679;591104,0;595634,4507;0,592679" o:connectangles="0,0,0,0,0"/>
              </v:shape>
              <v:shape id="Serbest Biçimli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582539;0,576905;580913,0;585443,0;0,582539" o:connectangles="0,0,0,0,0"/>
              </v:shape>
              <v:shape id="Serbest Biçimli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Serbest Biçimli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Metin Kutusu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0110D7" w:rsidRDefault="000110D7">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C85042">
                        <w:rPr>
                          <w:noProof/>
                          <w:color w:val="8496B0" w:themeColor="text2" w:themeTint="99"/>
                          <w:sz w:val="24"/>
                          <w:szCs w:val="24"/>
                        </w:rPr>
                        <w:t>1</w:t>
                      </w:r>
                      <w:r>
                        <w:rPr>
                          <w:color w:val="8496B0" w:themeColor="text2" w:themeTint="99"/>
                          <w:sz w:val="24"/>
                          <w:szCs w:val="24"/>
                        </w:rPr>
                        <w:fldChar w:fldCharType="end"/>
                      </w:r>
                    </w:p>
                  </w:txbxContent>
                </v:textbox>
              </v:shape>
              <w10:wrap anchorx="margin" anchory="margin"/>
            </v:group>
          </w:pict>
        </mc:Fallback>
      </mc:AlternateContent>
    </w:r>
  </w:p>
  <w:p w:rsidR="000110D7" w:rsidRDefault="000110D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635DA"/>
    <w:multiLevelType w:val="hybridMultilevel"/>
    <w:tmpl w:val="388471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086F3D"/>
    <w:multiLevelType w:val="hybridMultilevel"/>
    <w:tmpl w:val="85AEC9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7A83063"/>
    <w:multiLevelType w:val="hybridMultilevel"/>
    <w:tmpl w:val="258E4216"/>
    <w:lvl w:ilvl="0" w:tplc="166EB982">
      <w:start w:val="4"/>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3" w15:restartNumberingAfterBreak="0">
    <w:nsid w:val="7D0C1A4F"/>
    <w:multiLevelType w:val="hybridMultilevel"/>
    <w:tmpl w:val="844610AC"/>
    <w:lvl w:ilvl="0" w:tplc="B65C73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D7"/>
    <w:rsid w:val="0000024B"/>
    <w:rsid w:val="000110D7"/>
    <w:rsid w:val="00043A7F"/>
    <w:rsid w:val="000C4987"/>
    <w:rsid w:val="000E62F1"/>
    <w:rsid w:val="001A14FD"/>
    <w:rsid w:val="00345881"/>
    <w:rsid w:val="00376210"/>
    <w:rsid w:val="00454402"/>
    <w:rsid w:val="00543036"/>
    <w:rsid w:val="00607366"/>
    <w:rsid w:val="0064478F"/>
    <w:rsid w:val="007A2CDF"/>
    <w:rsid w:val="008D1FAB"/>
    <w:rsid w:val="00A20856"/>
    <w:rsid w:val="00B37EE7"/>
    <w:rsid w:val="00C73FAB"/>
    <w:rsid w:val="00C85042"/>
    <w:rsid w:val="00CC5C66"/>
    <w:rsid w:val="00ED1DC6"/>
    <w:rsid w:val="00F65D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5A842-7693-426C-9D9D-F503961C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110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10D7"/>
  </w:style>
  <w:style w:type="paragraph" w:styleId="Altbilgi">
    <w:name w:val="footer"/>
    <w:basedOn w:val="Normal"/>
    <w:link w:val="AltbilgiChar"/>
    <w:uiPriority w:val="99"/>
    <w:unhideWhenUsed/>
    <w:rsid w:val="000110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10D7"/>
  </w:style>
  <w:style w:type="paragraph" w:styleId="ListeParagraf">
    <w:name w:val="List Paragraph"/>
    <w:basedOn w:val="Normal"/>
    <w:uiPriority w:val="34"/>
    <w:qFormat/>
    <w:rsid w:val="00644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732661">
      <w:bodyDiv w:val="1"/>
      <w:marLeft w:val="0"/>
      <w:marRight w:val="0"/>
      <w:marTop w:val="0"/>
      <w:marBottom w:val="0"/>
      <w:divBdr>
        <w:top w:val="none" w:sz="0" w:space="0" w:color="auto"/>
        <w:left w:val="none" w:sz="0" w:space="0" w:color="auto"/>
        <w:bottom w:val="none" w:sz="0" w:space="0" w:color="auto"/>
        <w:right w:val="none" w:sz="0" w:space="0" w:color="auto"/>
      </w:divBdr>
      <w:divsChild>
        <w:div w:id="134177427">
          <w:marLeft w:val="0"/>
          <w:marRight w:val="0"/>
          <w:marTop w:val="0"/>
          <w:marBottom w:val="0"/>
          <w:divBdr>
            <w:top w:val="none" w:sz="0" w:space="0" w:color="auto"/>
            <w:left w:val="none" w:sz="0" w:space="0" w:color="auto"/>
            <w:bottom w:val="none" w:sz="0" w:space="0" w:color="auto"/>
            <w:right w:val="none" w:sz="0" w:space="0" w:color="auto"/>
          </w:divBdr>
        </w:div>
      </w:divsChild>
    </w:div>
    <w:div w:id="1693721797">
      <w:bodyDiv w:val="1"/>
      <w:marLeft w:val="0"/>
      <w:marRight w:val="0"/>
      <w:marTop w:val="0"/>
      <w:marBottom w:val="0"/>
      <w:divBdr>
        <w:top w:val="none" w:sz="0" w:space="0" w:color="auto"/>
        <w:left w:val="none" w:sz="0" w:space="0" w:color="auto"/>
        <w:bottom w:val="none" w:sz="0" w:space="0" w:color="auto"/>
        <w:right w:val="none" w:sz="0" w:space="0" w:color="auto"/>
      </w:divBdr>
      <w:divsChild>
        <w:div w:id="2068917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2800</Words>
  <Characters>15962</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2</cp:revision>
  <dcterms:created xsi:type="dcterms:W3CDTF">2017-08-01T14:12:00Z</dcterms:created>
  <dcterms:modified xsi:type="dcterms:W3CDTF">2017-08-01T14:12:00Z</dcterms:modified>
</cp:coreProperties>
</file>