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68E" w:rsidRPr="007B21AB" w:rsidRDefault="00A9768E">
      <w:pPr>
        <w:rPr>
          <w:rFonts w:ascii="Arial" w:hAnsi="Arial" w:cs="Arial"/>
          <w:sz w:val="24"/>
          <w:szCs w:val="24"/>
        </w:rPr>
      </w:pPr>
      <w:bookmarkStart w:id="0" w:name="_GoBack"/>
      <w:bookmarkEnd w:id="0"/>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t xml:space="preserve">Bursa, </w:t>
      </w:r>
      <w:r w:rsidR="006B6979" w:rsidRPr="007B21AB">
        <w:rPr>
          <w:rFonts w:ascii="Arial" w:hAnsi="Arial" w:cs="Arial"/>
          <w:sz w:val="24"/>
          <w:szCs w:val="24"/>
        </w:rPr>
        <w:t>10</w:t>
      </w:r>
      <w:r w:rsidRPr="007B21AB">
        <w:rPr>
          <w:rFonts w:ascii="Arial" w:hAnsi="Arial" w:cs="Arial"/>
          <w:sz w:val="24"/>
          <w:szCs w:val="24"/>
        </w:rPr>
        <w:t>.Kasım.201</w:t>
      </w:r>
      <w:r w:rsidR="006B6979" w:rsidRPr="007B21AB">
        <w:rPr>
          <w:rFonts w:ascii="Arial" w:hAnsi="Arial" w:cs="Arial"/>
          <w:sz w:val="24"/>
          <w:szCs w:val="24"/>
        </w:rPr>
        <w:t>4</w:t>
      </w:r>
    </w:p>
    <w:p w:rsidR="00A9768E" w:rsidRPr="007B21AB" w:rsidRDefault="00A9768E">
      <w:pPr>
        <w:rPr>
          <w:rFonts w:ascii="Arial" w:hAnsi="Arial" w:cs="Arial"/>
          <w:sz w:val="24"/>
          <w:szCs w:val="24"/>
        </w:rPr>
      </w:pPr>
    </w:p>
    <w:p w:rsidR="006B6979" w:rsidRPr="007B21AB" w:rsidRDefault="006B6979">
      <w:pPr>
        <w:rPr>
          <w:rFonts w:ascii="Arial" w:hAnsi="Arial" w:cs="Arial"/>
          <w:sz w:val="24"/>
          <w:szCs w:val="24"/>
        </w:rPr>
      </w:pPr>
      <w:r w:rsidRPr="007B21AB">
        <w:rPr>
          <w:rFonts w:ascii="Arial" w:hAnsi="Arial" w:cs="Arial"/>
          <w:sz w:val="24"/>
          <w:szCs w:val="24"/>
        </w:rPr>
        <w:t xml:space="preserve">PEMBE RUJ KULLANACAĞINI ZANNEDERKEN KIRMIZI ACI BİBER KULLANMAK </w:t>
      </w:r>
    </w:p>
    <w:p w:rsidR="006B6979" w:rsidRPr="007B21AB" w:rsidRDefault="006B6979">
      <w:pPr>
        <w:rPr>
          <w:rFonts w:ascii="Arial" w:hAnsi="Arial" w:cs="Arial"/>
          <w:sz w:val="24"/>
          <w:szCs w:val="24"/>
        </w:rPr>
      </w:pPr>
      <w:r w:rsidRPr="007B21AB">
        <w:rPr>
          <w:rFonts w:ascii="Arial" w:hAnsi="Arial" w:cs="Arial"/>
          <w:sz w:val="24"/>
          <w:szCs w:val="24"/>
        </w:rPr>
        <w:t xml:space="preserve">VEYA 6552 SAYILI AF YASASI </w:t>
      </w:r>
    </w:p>
    <w:p w:rsidR="006B6979" w:rsidRPr="007B21AB" w:rsidRDefault="006B6979" w:rsidP="006B6979">
      <w:pPr>
        <w:ind w:firstLine="708"/>
        <w:rPr>
          <w:rFonts w:ascii="Arial" w:hAnsi="Arial" w:cs="Arial"/>
          <w:sz w:val="24"/>
          <w:szCs w:val="24"/>
        </w:rPr>
      </w:pPr>
      <w:r w:rsidRPr="007B21AB">
        <w:rPr>
          <w:rFonts w:ascii="Arial" w:hAnsi="Arial" w:cs="Arial"/>
          <w:sz w:val="24"/>
          <w:szCs w:val="24"/>
        </w:rPr>
        <w:t xml:space="preserve">Geçen gün 6552 sayılı af yasası ile ilgili bir seminere gitmiştim. Yanımda oturan arkadaşım, semineri ve sunumları dinledi  </w:t>
      </w:r>
      <w:proofErr w:type="gramStart"/>
      <w:r w:rsidRPr="007B21AB">
        <w:rPr>
          <w:rFonts w:ascii="Arial" w:hAnsi="Arial" w:cs="Arial"/>
          <w:sz w:val="24"/>
          <w:szCs w:val="24"/>
        </w:rPr>
        <w:t>dinledi , izledi</w:t>
      </w:r>
      <w:proofErr w:type="gramEnd"/>
      <w:r w:rsidRPr="007B21AB">
        <w:rPr>
          <w:rFonts w:ascii="Arial" w:hAnsi="Arial" w:cs="Arial"/>
          <w:sz w:val="24"/>
          <w:szCs w:val="24"/>
        </w:rPr>
        <w:t xml:space="preserve"> izledi ve şöyle bir söz </w:t>
      </w:r>
      <w:proofErr w:type="spellStart"/>
      <w:r w:rsidRPr="007B21AB">
        <w:rPr>
          <w:rFonts w:ascii="Arial" w:hAnsi="Arial" w:cs="Arial"/>
          <w:sz w:val="24"/>
          <w:szCs w:val="24"/>
        </w:rPr>
        <w:t>sarfetti</w:t>
      </w:r>
      <w:proofErr w:type="spellEnd"/>
      <w:r w:rsidRPr="007B21AB">
        <w:rPr>
          <w:rFonts w:ascii="Arial" w:hAnsi="Arial" w:cs="Arial"/>
          <w:sz w:val="24"/>
          <w:szCs w:val="24"/>
        </w:rPr>
        <w:t xml:space="preserve">: </w:t>
      </w:r>
    </w:p>
    <w:p w:rsidR="006B6979" w:rsidRPr="007B21AB" w:rsidRDefault="006B6979" w:rsidP="006B6979">
      <w:pPr>
        <w:ind w:firstLine="708"/>
        <w:rPr>
          <w:rFonts w:ascii="Arial" w:hAnsi="Arial" w:cs="Arial"/>
          <w:color w:val="FF0000"/>
          <w:sz w:val="24"/>
          <w:szCs w:val="24"/>
        </w:rPr>
      </w:pPr>
      <w:r w:rsidRPr="007B21AB">
        <w:rPr>
          <w:rFonts w:ascii="Arial" w:hAnsi="Arial" w:cs="Arial"/>
          <w:color w:val="FF0000"/>
          <w:sz w:val="24"/>
          <w:szCs w:val="24"/>
        </w:rPr>
        <w:t xml:space="preserve">Desene millet pembe rujla dudak boyamayı düşünürken acı biberle karşılaştı ve pembe ruj yerine kırmızı acı biber kullanacak. </w:t>
      </w:r>
    </w:p>
    <w:p w:rsidR="006B6979" w:rsidRPr="007B21AB" w:rsidRDefault="006B6979" w:rsidP="006B6979">
      <w:pPr>
        <w:rPr>
          <w:rFonts w:ascii="Arial" w:hAnsi="Arial" w:cs="Arial"/>
          <w:sz w:val="24"/>
          <w:szCs w:val="24"/>
        </w:rPr>
      </w:pPr>
      <w:r w:rsidRPr="007B21AB">
        <w:rPr>
          <w:rFonts w:ascii="Arial" w:hAnsi="Arial" w:cs="Arial"/>
          <w:sz w:val="24"/>
          <w:szCs w:val="24"/>
        </w:rPr>
        <w:t xml:space="preserve">Allah </w:t>
      </w:r>
      <w:proofErr w:type="spellStart"/>
      <w:r w:rsidRPr="007B21AB">
        <w:rPr>
          <w:rFonts w:ascii="Arial" w:hAnsi="Arial" w:cs="Arial"/>
          <w:sz w:val="24"/>
          <w:szCs w:val="24"/>
        </w:rPr>
        <w:t>Allah</w:t>
      </w:r>
      <w:proofErr w:type="spellEnd"/>
      <w:r w:rsidRPr="007B21AB">
        <w:rPr>
          <w:rFonts w:ascii="Arial" w:hAnsi="Arial" w:cs="Arial"/>
          <w:sz w:val="24"/>
          <w:szCs w:val="24"/>
        </w:rPr>
        <w:t xml:space="preserve">, </w:t>
      </w:r>
      <w:proofErr w:type="gramStart"/>
      <w:r w:rsidRPr="007B21AB">
        <w:rPr>
          <w:rFonts w:ascii="Arial" w:hAnsi="Arial" w:cs="Arial"/>
          <w:sz w:val="24"/>
          <w:szCs w:val="24"/>
        </w:rPr>
        <w:t>arkadaşım  acaba</w:t>
      </w:r>
      <w:proofErr w:type="gramEnd"/>
      <w:r w:rsidRPr="007B21AB">
        <w:rPr>
          <w:rFonts w:ascii="Arial" w:hAnsi="Arial" w:cs="Arial"/>
          <w:sz w:val="24"/>
          <w:szCs w:val="24"/>
        </w:rPr>
        <w:t xml:space="preserve"> neden bu sözü </w:t>
      </w:r>
      <w:proofErr w:type="spellStart"/>
      <w:r w:rsidRPr="007B21AB">
        <w:rPr>
          <w:rFonts w:ascii="Arial" w:hAnsi="Arial" w:cs="Arial"/>
          <w:sz w:val="24"/>
          <w:szCs w:val="24"/>
        </w:rPr>
        <w:t>sarfetti</w:t>
      </w:r>
      <w:proofErr w:type="spellEnd"/>
      <w:r w:rsidRPr="007B21AB">
        <w:rPr>
          <w:rFonts w:ascii="Arial" w:hAnsi="Arial" w:cs="Arial"/>
          <w:sz w:val="24"/>
          <w:szCs w:val="24"/>
        </w:rPr>
        <w:t xml:space="preserve"> diye düşünmeye başladım. Bu düşüncelerle geçmişe dönmeden bir önceki 6111 sayılı kanunla ve bugünkü 6552 sayılı kanunla getirilen torba-çorba veya af yasasını incelemeye karar verdim. </w:t>
      </w:r>
    </w:p>
    <w:p w:rsidR="006B6979" w:rsidRPr="007B21AB" w:rsidRDefault="006B6979" w:rsidP="006B6979">
      <w:pPr>
        <w:ind w:firstLine="708"/>
        <w:rPr>
          <w:rFonts w:ascii="Arial" w:hAnsi="Arial" w:cs="Arial"/>
          <w:sz w:val="24"/>
          <w:szCs w:val="24"/>
        </w:rPr>
      </w:pPr>
      <w:r w:rsidRPr="007B21AB">
        <w:rPr>
          <w:rFonts w:ascii="Arial" w:hAnsi="Arial" w:cs="Arial"/>
          <w:sz w:val="24"/>
          <w:szCs w:val="24"/>
        </w:rPr>
        <w:t xml:space="preserve">2011 yılında bilindiği gibi 6111 sayılı kanunla daha kapsamlı bir af getirilmişti. Ancak, özellikle kasa affından sonra işletmelerin bilançolarında </w:t>
      </w:r>
      <w:proofErr w:type="spellStart"/>
      <w:r w:rsidRPr="007B21AB">
        <w:rPr>
          <w:rFonts w:ascii="Arial" w:hAnsi="Arial" w:cs="Arial"/>
          <w:sz w:val="24"/>
          <w:szCs w:val="24"/>
        </w:rPr>
        <w:t>özsermaye</w:t>
      </w:r>
      <w:proofErr w:type="spellEnd"/>
      <w:r w:rsidRPr="007B21AB">
        <w:rPr>
          <w:rFonts w:ascii="Arial" w:hAnsi="Arial" w:cs="Arial"/>
          <w:sz w:val="24"/>
          <w:szCs w:val="24"/>
        </w:rPr>
        <w:t xml:space="preserve"> kalemleri içinde, bu af yasasından dolayı </w:t>
      </w:r>
      <w:proofErr w:type="spellStart"/>
      <w:r w:rsidRPr="007B21AB">
        <w:rPr>
          <w:rFonts w:ascii="Arial" w:hAnsi="Arial" w:cs="Arial"/>
          <w:sz w:val="24"/>
          <w:szCs w:val="24"/>
        </w:rPr>
        <w:t>özsermayeyi</w:t>
      </w:r>
      <w:proofErr w:type="spellEnd"/>
      <w:r w:rsidRPr="007B21AB">
        <w:rPr>
          <w:rFonts w:ascii="Arial" w:hAnsi="Arial" w:cs="Arial"/>
          <w:sz w:val="24"/>
          <w:szCs w:val="24"/>
        </w:rPr>
        <w:t xml:space="preserve"> azaltan bir (</w:t>
      </w:r>
      <w:r w:rsidRPr="007B21AB">
        <w:rPr>
          <w:rFonts w:ascii="Arial" w:hAnsi="Arial" w:cs="Arial"/>
          <w:color w:val="FF0000"/>
          <w:sz w:val="24"/>
          <w:szCs w:val="24"/>
        </w:rPr>
        <w:t>kanunen kabul edilmeyen giderler)</w:t>
      </w:r>
      <w:r w:rsidRPr="007B21AB">
        <w:rPr>
          <w:rFonts w:ascii="Arial" w:hAnsi="Arial" w:cs="Arial"/>
          <w:sz w:val="24"/>
          <w:szCs w:val="24"/>
        </w:rPr>
        <w:t xml:space="preserve"> </w:t>
      </w:r>
      <w:r w:rsidR="004C4222" w:rsidRPr="007B21AB">
        <w:rPr>
          <w:rFonts w:ascii="Arial" w:hAnsi="Arial" w:cs="Arial"/>
          <w:sz w:val="24"/>
          <w:szCs w:val="24"/>
        </w:rPr>
        <w:t xml:space="preserve"> veya geçmiş yıl zararları </w:t>
      </w:r>
      <w:r w:rsidRPr="007B21AB">
        <w:rPr>
          <w:rFonts w:ascii="Arial" w:hAnsi="Arial" w:cs="Arial"/>
          <w:sz w:val="24"/>
          <w:szCs w:val="24"/>
        </w:rPr>
        <w:t xml:space="preserve">rakamı doğdu. Bazı işletmelerde bu rakam epey büyük tutarda olup </w:t>
      </w:r>
      <w:proofErr w:type="spellStart"/>
      <w:r w:rsidRPr="007B21AB">
        <w:rPr>
          <w:rFonts w:ascii="Arial" w:hAnsi="Arial" w:cs="Arial"/>
          <w:sz w:val="24"/>
          <w:szCs w:val="24"/>
        </w:rPr>
        <w:t>özsermayeyi</w:t>
      </w:r>
      <w:proofErr w:type="spellEnd"/>
      <w:r w:rsidRPr="007B21AB">
        <w:rPr>
          <w:rFonts w:ascii="Arial" w:hAnsi="Arial" w:cs="Arial"/>
          <w:sz w:val="24"/>
          <w:szCs w:val="24"/>
        </w:rPr>
        <w:t xml:space="preserve"> de önemli oranda azaltan bir etki etmektedir. </w:t>
      </w:r>
    </w:p>
    <w:p w:rsidR="006B6979" w:rsidRPr="007B21AB" w:rsidRDefault="006B6979" w:rsidP="006B6979">
      <w:pPr>
        <w:ind w:firstLine="708"/>
        <w:rPr>
          <w:rFonts w:ascii="Arial" w:hAnsi="Arial" w:cs="Arial"/>
          <w:sz w:val="24"/>
          <w:szCs w:val="24"/>
        </w:rPr>
      </w:pPr>
      <w:r w:rsidRPr="007B21AB">
        <w:rPr>
          <w:rFonts w:ascii="Arial" w:hAnsi="Arial" w:cs="Arial"/>
          <w:sz w:val="24"/>
          <w:szCs w:val="24"/>
        </w:rPr>
        <w:t xml:space="preserve">Şimdi yine 6552 sayılı af yasasından yararlanıldığında yine şirketlerin </w:t>
      </w:r>
      <w:proofErr w:type="spellStart"/>
      <w:r w:rsidRPr="007B21AB">
        <w:rPr>
          <w:rFonts w:ascii="Arial" w:hAnsi="Arial" w:cs="Arial"/>
          <w:sz w:val="24"/>
          <w:szCs w:val="24"/>
        </w:rPr>
        <w:t>özsermayeleri</w:t>
      </w:r>
      <w:proofErr w:type="spellEnd"/>
      <w:r w:rsidRPr="007B21AB">
        <w:rPr>
          <w:rFonts w:ascii="Arial" w:hAnsi="Arial" w:cs="Arial"/>
          <w:sz w:val="24"/>
          <w:szCs w:val="24"/>
        </w:rPr>
        <w:t xml:space="preserve"> yararlanılan af miktarında azalacak ve</w:t>
      </w:r>
      <w:r w:rsidR="00F37CFB" w:rsidRPr="007B21AB">
        <w:rPr>
          <w:rFonts w:ascii="Arial" w:hAnsi="Arial" w:cs="Arial"/>
          <w:sz w:val="24"/>
          <w:szCs w:val="24"/>
        </w:rPr>
        <w:t xml:space="preserve"> Türk Ticaret Kanunu hükümleri açısından </w:t>
      </w:r>
      <w:proofErr w:type="spellStart"/>
      <w:proofErr w:type="gramStart"/>
      <w:r w:rsidR="00F37CFB" w:rsidRPr="007B21AB">
        <w:rPr>
          <w:rFonts w:ascii="Arial" w:hAnsi="Arial" w:cs="Arial"/>
          <w:sz w:val="24"/>
          <w:szCs w:val="24"/>
        </w:rPr>
        <w:t>çook</w:t>
      </w:r>
      <w:proofErr w:type="spellEnd"/>
      <w:r w:rsidR="00F37CFB" w:rsidRPr="007B21AB">
        <w:rPr>
          <w:rFonts w:ascii="Arial" w:hAnsi="Arial" w:cs="Arial"/>
          <w:sz w:val="24"/>
          <w:szCs w:val="24"/>
        </w:rPr>
        <w:t xml:space="preserve"> </w:t>
      </w:r>
      <w:r w:rsidRPr="007B21AB">
        <w:rPr>
          <w:rFonts w:ascii="Arial" w:hAnsi="Arial" w:cs="Arial"/>
          <w:sz w:val="24"/>
          <w:szCs w:val="24"/>
        </w:rPr>
        <w:t xml:space="preserve"> önemli</w:t>
      </w:r>
      <w:proofErr w:type="gramEnd"/>
      <w:r w:rsidRPr="007B21AB">
        <w:rPr>
          <w:rFonts w:ascii="Arial" w:hAnsi="Arial" w:cs="Arial"/>
          <w:sz w:val="24"/>
          <w:szCs w:val="24"/>
        </w:rPr>
        <w:t xml:space="preserve"> bir durumla karşılaşılacaktır. </w:t>
      </w:r>
    </w:p>
    <w:p w:rsidR="00F37CFB" w:rsidRPr="007B21AB" w:rsidRDefault="00F37CFB" w:rsidP="006B6979">
      <w:pPr>
        <w:ind w:firstLine="708"/>
        <w:rPr>
          <w:rFonts w:ascii="Arial" w:hAnsi="Arial" w:cs="Arial"/>
          <w:sz w:val="24"/>
          <w:szCs w:val="24"/>
        </w:rPr>
      </w:pPr>
      <w:r w:rsidRPr="007B21AB">
        <w:rPr>
          <w:rFonts w:ascii="Arial" w:hAnsi="Arial" w:cs="Arial"/>
          <w:sz w:val="24"/>
          <w:szCs w:val="24"/>
        </w:rPr>
        <w:t>Nedir bu önemli durum?</w:t>
      </w:r>
    </w:p>
    <w:p w:rsidR="00F37CFB" w:rsidRPr="007B21AB" w:rsidRDefault="00F37CFB" w:rsidP="006B6979">
      <w:pPr>
        <w:ind w:firstLine="708"/>
        <w:rPr>
          <w:rFonts w:ascii="Arial" w:hAnsi="Arial" w:cs="Arial"/>
          <w:sz w:val="24"/>
          <w:szCs w:val="24"/>
        </w:rPr>
      </w:pPr>
      <w:r w:rsidRPr="007B21AB">
        <w:rPr>
          <w:rFonts w:ascii="Arial" w:hAnsi="Arial" w:cs="Arial"/>
          <w:sz w:val="24"/>
          <w:szCs w:val="24"/>
        </w:rPr>
        <w:t>Şirketlerin sermayesinin karşılıksız kalabilme durumu</w:t>
      </w:r>
      <w:r w:rsidR="00B34CAC" w:rsidRPr="007B21AB">
        <w:rPr>
          <w:rFonts w:ascii="Arial" w:hAnsi="Arial" w:cs="Arial"/>
          <w:sz w:val="24"/>
          <w:szCs w:val="24"/>
        </w:rPr>
        <w:t xml:space="preserve">, borca </w:t>
      </w:r>
      <w:proofErr w:type="spellStart"/>
      <w:r w:rsidR="00B34CAC" w:rsidRPr="007B21AB">
        <w:rPr>
          <w:rFonts w:ascii="Arial" w:hAnsi="Arial" w:cs="Arial"/>
          <w:sz w:val="24"/>
          <w:szCs w:val="24"/>
        </w:rPr>
        <w:t>batıklık</w:t>
      </w:r>
      <w:proofErr w:type="spellEnd"/>
      <w:r w:rsidR="00B34CAC" w:rsidRPr="007B21AB">
        <w:rPr>
          <w:rFonts w:ascii="Arial" w:hAnsi="Arial" w:cs="Arial"/>
          <w:sz w:val="24"/>
          <w:szCs w:val="24"/>
        </w:rPr>
        <w:t xml:space="preserve"> </w:t>
      </w:r>
      <w:proofErr w:type="gramStart"/>
      <w:r w:rsidR="00B34CAC" w:rsidRPr="007B21AB">
        <w:rPr>
          <w:rFonts w:ascii="Arial" w:hAnsi="Arial" w:cs="Arial"/>
          <w:sz w:val="24"/>
          <w:szCs w:val="24"/>
        </w:rPr>
        <w:t xml:space="preserve">hali </w:t>
      </w:r>
      <w:r w:rsidRPr="007B21AB">
        <w:rPr>
          <w:rFonts w:ascii="Arial" w:hAnsi="Arial" w:cs="Arial"/>
          <w:sz w:val="24"/>
          <w:szCs w:val="24"/>
        </w:rPr>
        <w:t xml:space="preserve"> veya</w:t>
      </w:r>
      <w:proofErr w:type="gramEnd"/>
      <w:r w:rsidRPr="007B21AB">
        <w:rPr>
          <w:rFonts w:ascii="Arial" w:hAnsi="Arial" w:cs="Arial"/>
          <w:sz w:val="24"/>
          <w:szCs w:val="24"/>
        </w:rPr>
        <w:t xml:space="preserve"> şirketlerin tasfiye zorunluluğu ile karşı karşıya kalabilmesidir. </w:t>
      </w:r>
    </w:p>
    <w:p w:rsidR="00F37CFB" w:rsidRPr="007B21AB" w:rsidRDefault="00F37CFB" w:rsidP="006B6979">
      <w:pPr>
        <w:ind w:firstLine="708"/>
        <w:rPr>
          <w:rFonts w:ascii="Arial" w:hAnsi="Arial" w:cs="Arial"/>
          <w:sz w:val="24"/>
          <w:szCs w:val="24"/>
        </w:rPr>
      </w:pPr>
      <w:r w:rsidRPr="007B21AB">
        <w:rPr>
          <w:rFonts w:ascii="Arial" w:hAnsi="Arial" w:cs="Arial"/>
          <w:sz w:val="24"/>
          <w:szCs w:val="24"/>
        </w:rPr>
        <w:t>Böyle bir durumda ne yapılmalıdır?</w:t>
      </w:r>
    </w:p>
    <w:p w:rsidR="006B6979" w:rsidRPr="007B21AB" w:rsidRDefault="00F37CFB" w:rsidP="00B34CAC">
      <w:pPr>
        <w:ind w:firstLine="708"/>
        <w:rPr>
          <w:rFonts w:ascii="Arial" w:hAnsi="Arial" w:cs="Arial"/>
          <w:sz w:val="24"/>
          <w:szCs w:val="24"/>
        </w:rPr>
      </w:pPr>
      <w:r w:rsidRPr="007B21AB">
        <w:rPr>
          <w:rFonts w:ascii="Arial" w:hAnsi="Arial" w:cs="Arial"/>
          <w:sz w:val="24"/>
          <w:szCs w:val="24"/>
        </w:rPr>
        <w:t xml:space="preserve">Konu Türk Ticaret Kanununun 376. </w:t>
      </w:r>
      <w:proofErr w:type="spellStart"/>
      <w:r w:rsidRPr="007B21AB">
        <w:rPr>
          <w:rFonts w:ascii="Arial" w:hAnsi="Arial" w:cs="Arial"/>
          <w:sz w:val="24"/>
          <w:szCs w:val="24"/>
        </w:rPr>
        <w:t>Incı</w:t>
      </w:r>
      <w:proofErr w:type="spellEnd"/>
      <w:r w:rsidRPr="007B21AB">
        <w:rPr>
          <w:rFonts w:ascii="Arial" w:hAnsi="Arial" w:cs="Arial"/>
          <w:sz w:val="24"/>
          <w:szCs w:val="24"/>
        </w:rPr>
        <w:t xml:space="preserve"> maddesinde açıklanmakta ve bu maddenin tatbiki gerekmektedir. </w:t>
      </w:r>
      <w:r w:rsidR="006B6979" w:rsidRPr="007B21AB">
        <w:rPr>
          <w:rFonts w:ascii="Arial" w:hAnsi="Arial" w:cs="Arial"/>
          <w:sz w:val="24"/>
          <w:szCs w:val="24"/>
        </w:rPr>
        <w:t xml:space="preserve">Sermayenin yarısı karşılıksız kaldı ise genel kurullar toplantıya çağırılmalıdır. </w:t>
      </w:r>
    </w:p>
    <w:p w:rsidR="006B6979" w:rsidRPr="007B21AB" w:rsidRDefault="004C4222" w:rsidP="004C4222">
      <w:pPr>
        <w:ind w:firstLine="708"/>
        <w:rPr>
          <w:rFonts w:ascii="Arial" w:eastAsia="Times New Roman" w:hAnsi="Arial" w:cs="Arial"/>
          <w:color w:val="000000"/>
          <w:sz w:val="24"/>
          <w:szCs w:val="24"/>
          <w:lang w:eastAsia="tr-TR"/>
        </w:rPr>
      </w:pPr>
      <w:r w:rsidRPr="007B21AB">
        <w:rPr>
          <w:rFonts w:ascii="Arial" w:hAnsi="Arial" w:cs="Arial"/>
          <w:sz w:val="24"/>
          <w:szCs w:val="24"/>
        </w:rPr>
        <w:t xml:space="preserve">Basında </w:t>
      </w:r>
      <w:proofErr w:type="spellStart"/>
      <w:r w:rsidRPr="007B21AB">
        <w:rPr>
          <w:rFonts w:ascii="Arial" w:hAnsi="Arial" w:cs="Arial"/>
          <w:sz w:val="24"/>
          <w:szCs w:val="24"/>
        </w:rPr>
        <w:t>bazan</w:t>
      </w:r>
      <w:proofErr w:type="spellEnd"/>
      <w:r w:rsidR="006B6979" w:rsidRPr="007B21AB">
        <w:rPr>
          <w:rFonts w:ascii="Arial" w:eastAsia="Times New Roman" w:hAnsi="Arial" w:cs="Arial"/>
          <w:color w:val="000000"/>
          <w:sz w:val="24"/>
          <w:szCs w:val="24"/>
          <w:lang w:eastAsia="tr-TR"/>
        </w:rPr>
        <w:t xml:space="preserve">  </w:t>
      </w:r>
      <w:r w:rsidR="006B6979" w:rsidRPr="007B21AB">
        <w:rPr>
          <w:rFonts w:ascii="Arial" w:eastAsia="Times New Roman" w:hAnsi="Arial" w:cs="Arial"/>
          <w:b/>
          <w:bCs/>
          <w:color w:val="000000"/>
          <w:sz w:val="24"/>
          <w:szCs w:val="24"/>
          <w:u w:val="single"/>
          <w:lang w:eastAsia="tr-TR"/>
        </w:rPr>
        <w:t>6552 sayılı kanun kapsamında 74.maddeden yararlanarak TTK kapsamında ” borca batık” duruma düşmeyin, gerekli tedbirleri alın. Diye yazılar</w:t>
      </w:r>
      <w:r w:rsidRPr="007B21AB">
        <w:rPr>
          <w:rFonts w:ascii="Arial" w:eastAsia="Times New Roman" w:hAnsi="Arial" w:cs="Arial"/>
          <w:b/>
          <w:bCs/>
          <w:color w:val="000000"/>
          <w:sz w:val="24"/>
          <w:szCs w:val="24"/>
          <w:u w:val="single"/>
          <w:lang w:eastAsia="tr-TR"/>
        </w:rPr>
        <w:t xml:space="preserve"> çıkmaktadır.</w:t>
      </w:r>
      <w:r w:rsidR="006B6979" w:rsidRPr="007B21AB">
        <w:rPr>
          <w:rFonts w:ascii="Arial" w:eastAsia="Times New Roman" w:hAnsi="Arial" w:cs="Arial"/>
          <w:b/>
          <w:bCs/>
          <w:color w:val="000000"/>
          <w:sz w:val="24"/>
          <w:szCs w:val="24"/>
          <w:u w:val="single"/>
          <w:lang w:eastAsia="tr-TR"/>
        </w:rPr>
        <w:t xml:space="preserve"> </w:t>
      </w:r>
    </w:p>
    <w:p w:rsidR="006B6979" w:rsidRPr="007B21AB" w:rsidRDefault="006B6979" w:rsidP="006B6979">
      <w:pPr>
        <w:shd w:val="clear" w:color="auto" w:fill="FFFFFF"/>
        <w:spacing w:after="0" w:line="240" w:lineRule="auto"/>
        <w:ind w:firstLine="708"/>
        <w:rPr>
          <w:rFonts w:ascii="Arial" w:eastAsia="Times New Roman" w:hAnsi="Arial" w:cs="Arial"/>
          <w:color w:val="000000"/>
          <w:sz w:val="24"/>
          <w:szCs w:val="24"/>
          <w:lang w:eastAsia="tr-TR"/>
        </w:rPr>
      </w:pPr>
      <w:r w:rsidRPr="007B21AB">
        <w:rPr>
          <w:rFonts w:ascii="Arial" w:eastAsia="Times New Roman" w:hAnsi="Arial" w:cs="Arial"/>
          <w:color w:val="000000"/>
          <w:sz w:val="24"/>
          <w:szCs w:val="24"/>
          <w:lang w:eastAsia="tr-TR"/>
        </w:rPr>
        <w:t>6552 sayılı kanun gereği 689 numaralı hesaba atılan (beyan edilen tutar ve vergisi) tutar son olarak geçmiş yıllar zararları hesabına atılacak ve</w:t>
      </w:r>
      <w:r w:rsidR="004C4222" w:rsidRPr="007B21AB">
        <w:rPr>
          <w:rFonts w:ascii="Arial" w:eastAsia="Times New Roman" w:hAnsi="Arial" w:cs="Arial"/>
          <w:color w:val="000000"/>
          <w:sz w:val="24"/>
          <w:szCs w:val="24"/>
          <w:lang w:eastAsia="tr-TR"/>
        </w:rPr>
        <w:t xml:space="preserve"> </w:t>
      </w:r>
      <w:proofErr w:type="gramStart"/>
      <w:r w:rsidR="004C4222" w:rsidRPr="007B21AB">
        <w:rPr>
          <w:rFonts w:ascii="Arial" w:eastAsia="Times New Roman" w:hAnsi="Arial" w:cs="Arial"/>
          <w:color w:val="000000"/>
          <w:sz w:val="24"/>
          <w:szCs w:val="24"/>
          <w:lang w:eastAsia="tr-TR"/>
        </w:rPr>
        <w:t xml:space="preserve">bilançonun </w:t>
      </w:r>
      <w:r w:rsidRPr="007B21AB">
        <w:rPr>
          <w:rFonts w:ascii="Arial" w:eastAsia="Times New Roman" w:hAnsi="Arial" w:cs="Arial"/>
          <w:color w:val="000000"/>
          <w:sz w:val="24"/>
          <w:szCs w:val="24"/>
          <w:lang w:eastAsia="tr-TR"/>
        </w:rPr>
        <w:t xml:space="preserve"> önemli</w:t>
      </w:r>
      <w:proofErr w:type="gramEnd"/>
      <w:r w:rsidRPr="007B21AB">
        <w:rPr>
          <w:rFonts w:ascii="Arial" w:eastAsia="Times New Roman" w:hAnsi="Arial" w:cs="Arial"/>
          <w:color w:val="000000"/>
          <w:sz w:val="24"/>
          <w:szCs w:val="24"/>
          <w:lang w:eastAsia="tr-TR"/>
        </w:rPr>
        <w:t xml:space="preserve"> oranda bozulmasına neden olabilecektir.  Bu durum</w:t>
      </w:r>
      <w:r w:rsidR="004C4222" w:rsidRPr="007B21AB">
        <w:rPr>
          <w:rFonts w:ascii="Arial" w:eastAsia="Times New Roman" w:hAnsi="Arial" w:cs="Arial"/>
          <w:color w:val="000000"/>
          <w:sz w:val="24"/>
          <w:szCs w:val="24"/>
          <w:lang w:eastAsia="tr-TR"/>
        </w:rPr>
        <w:t>,</w:t>
      </w:r>
      <w:r w:rsidRPr="007B21AB">
        <w:rPr>
          <w:rFonts w:ascii="Arial" w:eastAsia="Times New Roman" w:hAnsi="Arial" w:cs="Arial"/>
          <w:color w:val="000000"/>
          <w:sz w:val="24"/>
          <w:szCs w:val="24"/>
          <w:lang w:eastAsia="tr-TR"/>
        </w:rPr>
        <w:t xml:space="preserve"> şirketin öz sermayesinde azalmalar meydana getireceği için </w:t>
      </w:r>
      <w:r w:rsidR="004C4222" w:rsidRPr="007B21AB">
        <w:rPr>
          <w:rFonts w:ascii="Arial" w:eastAsia="Times New Roman" w:hAnsi="Arial" w:cs="Arial"/>
          <w:color w:val="000000"/>
          <w:sz w:val="24"/>
          <w:szCs w:val="24"/>
          <w:lang w:eastAsia="tr-TR"/>
        </w:rPr>
        <w:t>Şirketin</w:t>
      </w:r>
      <w:r w:rsidRPr="007B21AB">
        <w:rPr>
          <w:rFonts w:ascii="Arial" w:eastAsia="Times New Roman" w:hAnsi="Arial" w:cs="Arial"/>
          <w:color w:val="000000"/>
          <w:sz w:val="24"/>
          <w:szCs w:val="24"/>
          <w:lang w:eastAsia="tr-TR"/>
        </w:rPr>
        <w:t xml:space="preserve"> bankadan kredi alma</w:t>
      </w:r>
      <w:r w:rsidR="004C4222" w:rsidRPr="007B21AB">
        <w:rPr>
          <w:rFonts w:ascii="Arial" w:eastAsia="Times New Roman" w:hAnsi="Arial" w:cs="Arial"/>
          <w:color w:val="000000"/>
          <w:sz w:val="24"/>
          <w:szCs w:val="24"/>
          <w:lang w:eastAsia="tr-TR"/>
        </w:rPr>
        <w:t>sın</w:t>
      </w:r>
      <w:r w:rsidRPr="007B21AB">
        <w:rPr>
          <w:rFonts w:ascii="Arial" w:eastAsia="Times New Roman" w:hAnsi="Arial" w:cs="Arial"/>
          <w:color w:val="000000"/>
          <w:sz w:val="24"/>
          <w:szCs w:val="24"/>
          <w:lang w:eastAsia="tr-TR"/>
        </w:rPr>
        <w:t>da problemler yaşama</w:t>
      </w:r>
      <w:r w:rsidR="004C4222" w:rsidRPr="007B21AB">
        <w:rPr>
          <w:rFonts w:ascii="Arial" w:eastAsia="Times New Roman" w:hAnsi="Arial" w:cs="Arial"/>
          <w:color w:val="000000"/>
          <w:sz w:val="24"/>
          <w:szCs w:val="24"/>
          <w:lang w:eastAsia="tr-TR"/>
        </w:rPr>
        <w:t>sına</w:t>
      </w:r>
      <w:r w:rsidRPr="007B21AB">
        <w:rPr>
          <w:rFonts w:ascii="Arial" w:eastAsia="Times New Roman" w:hAnsi="Arial" w:cs="Arial"/>
          <w:color w:val="000000"/>
          <w:sz w:val="24"/>
          <w:szCs w:val="24"/>
          <w:lang w:eastAsia="tr-TR"/>
        </w:rPr>
        <w:t xml:space="preserve"> ve şirketinizin “ borca batık” duruma düşmesine neden olabilecektir.</w:t>
      </w:r>
    </w:p>
    <w:p w:rsidR="006B6979" w:rsidRPr="007B21AB" w:rsidRDefault="006B6979" w:rsidP="006B6979">
      <w:pPr>
        <w:shd w:val="clear" w:color="auto" w:fill="FFFFFF"/>
        <w:spacing w:after="0" w:line="240" w:lineRule="auto"/>
        <w:rPr>
          <w:rFonts w:ascii="Arial" w:eastAsia="Times New Roman" w:hAnsi="Arial" w:cs="Arial"/>
          <w:color w:val="000000"/>
          <w:sz w:val="24"/>
          <w:szCs w:val="24"/>
          <w:lang w:eastAsia="tr-TR"/>
        </w:rPr>
      </w:pPr>
      <w:r w:rsidRPr="007B21AB">
        <w:rPr>
          <w:rFonts w:ascii="Arial" w:eastAsia="Times New Roman" w:hAnsi="Arial" w:cs="Arial"/>
          <w:color w:val="000000"/>
          <w:sz w:val="24"/>
          <w:szCs w:val="24"/>
          <w:lang w:eastAsia="tr-TR"/>
        </w:rPr>
        <w:t xml:space="preserve">Borca </w:t>
      </w:r>
      <w:proofErr w:type="spellStart"/>
      <w:r w:rsidRPr="007B21AB">
        <w:rPr>
          <w:rFonts w:ascii="Arial" w:eastAsia="Times New Roman" w:hAnsi="Arial" w:cs="Arial"/>
          <w:color w:val="000000"/>
          <w:sz w:val="24"/>
          <w:szCs w:val="24"/>
          <w:lang w:eastAsia="tr-TR"/>
        </w:rPr>
        <w:t>batıklık</w:t>
      </w:r>
      <w:proofErr w:type="spellEnd"/>
      <w:r w:rsidRPr="007B21AB">
        <w:rPr>
          <w:rFonts w:ascii="Arial" w:eastAsia="Times New Roman" w:hAnsi="Arial" w:cs="Arial"/>
          <w:color w:val="000000"/>
          <w:sz w:val="24"/>
          <w:szCs w:val="24"/>
          <w:lang w:eastAsia="tr-TR"/>
        </w:rPr>
        <w:t xml:space="preserve"> durumu şirketin</w:t>
      </w:r>
      <w:r w:rsidR="004C4222" w:rsidRPr="007B21AB">
        <w:rPr>
          <w:rFonts w:ascii="Arial" w:eastAsia="Times New Roman" w:hAnsi="Arial" w:cs="Arial"/>
          <w:color w:val="000000"/>
          <w:sz w:val="24"/>
          <w:szCs w:val="24"/>
          <w:lang w:eastAsia="tr-TR"/>
        </w:rPr>
        <w:t xml:space="preserve"> </w:t>
      </w:r>
      <w:r w:rsidRPr="007B21AB">
        <w:rPr>
          <w:rFonts w:ascii="Arial" w:eastAsia="Times New Roman" w:hAnsi="Arial" w:cs="Arial"/>
          <w:color w:val="000000"/>
          <w:sz w:val="24"/>
          <w:szCs w:val="24"/>
          <w:lang w:eastAsia="tr-TR"/>
        </w:rPr>
        <w:t xml:space="preserve">” kendiliğinden sona erme “ sonucuna kadar götürebilecek </w:t>
      </w:r>
      <w:r w:rsidR="004C4222" w:rsidRPr="007B21AB">
        <w:rPr>
          <w:rFonts w:ascii="Arial" w:eastAsia="Times New Roman" w:hAnsi="Arial" w:cs="Arial"/>
          <w:color w:val="000000"/>
          <w:sz w:val="24"/>
          <w:szCs w:val="24"/>
          <w:lang w:eastAsia="tr-TR"/>
        </w:rPr>
        <w:t>bir durumdur</w:t>
      </w:r>
      <w:r w:rsidRPr="007B21AB">
        <w:rPr>
          <w:rFonts w:ascii="Arial" w:eastAsia="Times New Roman" w:hAnsi="Arial" w:cs="Arial"/>
          <w:color w:val="000000"/>
          <w:sz w:val="24"/>
          <w:szCs w:val="24"/>
          <w:lang w:eastAsia="tr-TR"/>
        </w:rPr>
        <w:t>, dolayısıyla TTK 376 maddesinde düzenlenen “borca batık” duruma düşmeme</w:t>
      </w:r>
      <w:r w:rsidR="004C4222" w:rsidRPr="007B21AB">
        <w:rPr>
          <w:rFonts w:ascii="Arial" w:eastAsia="Times New Roman" w:hAnsi="Arial" w:cs="Arial"/>
          <w:color w:val="000000"/>
          <w:sz w:val="24"/>
          <w:szCs w:val="24"/>
          <w:lang w:eastAsia="tr-TR"/>
        </w:rPr>
        <w:t>k</w:t>
      </w:r>
      <w:r w:rsidRPr="007B21AB">
        <w:rPr>
          <w:rFonts w:ascii="Arial" w:eastAsia="Times New Roman" w:hAnsi="Arial" w:cs="Arial"/>
          <w:color w:val="000000"/>
          <w:sz w:val="24"/>
          <w:szCs w:val="24"/>
          <w:lang w:eastAsia="tr-TR"/>
        </w:rPr>
        <w:t xml:space="preserve"> için şirket yöneticileri</w:t>
      </w:r>
      <w:r w:rsidR="004C4222" w:rsidRPr="007B21AB">
        <w:rPr>
          <w:rFonts w:ascii="Arial" w:eastAsia="Times New Roman" w:hAnsi="Arial" w:cs="Arial"/>
          <w:color w:val="000000"/>
          <w:sz w:val="24"/>
          <w:szCs w:val="24"/>
          <w:lang w:eastAsia="tr-TR"/>
        </w:rPr>
        <w:t xml:space="preserve"> gerekli tedbirleri almalıdır.</w:t>
      </w:r>
      <w:r w:rsidRPr="007B21AB">
        <w:rPr>
          <w:rFonts w:ascii="Arial" w:eastAsia="Times New Roman" w:hAnsi="Arial" w:cs="Arial"/>
          <w:color w:val="000000"/>
          <w:sz w:val="24"/>
          <w:szCs w:val="24"/>
          <w:lang w:eastAsia="tr-TR"/>
        </w:rPr>
        <w:t xml:space="preserve"> TTK 376 maddesi borca batık şirket yöneticilerine bu konuda önemli sorumluluklar vermektedir.</w:t>
      </w:r>
    </w:p>
    <w:p w:rsidR="004C4222" w:rsidRPr="007B21AB" w:rsidRDefault="004C4222" w:rsidP="006B6979">
      <w:pPr>
        <w:shd w:val="clear" w:color="auto" w:fill="FFFFFF"/>
        <w:spacing w:after="0" w:line="240" w:lineRule="auto"/>
        <w:rPr>
          <w:rFonts w:ascii="Arial" w:eastAsia="Times New Roman" w:hAnsi="Arial" w:cs="Arial"/>
          <w:color w:val="000000"/>
          <w:sz w:val="24"/>
          <w:szCs w:val="24"/>
          <w:lang w:eastAsia="tr-TR"/>
        </w:rPr>
      </w:pPr>
    </w:p>
    <w:p w:rsidR="006B6979" w:rsidRPr="007B21AB" w:rsidRDefault="006B6979" w:rsidP="004C4222">
      <w:pPr>
        <w:shd w:val="clear" w:color="auto" w:fill="FFFFFF"/>
        <w:spacing w:after="0" w:line="240" w:lineRule="auto"/>
        <w:ind w:firstLine="708"/>
        <w:rPr>
          <w:rFonts w:ascii="Arial" w:eastAsia="Times New Roman" w:hAnsi="Arial" w:cs="Arial"/>
          <w:b/>
          <w:bCs/>
          <w:color w:val="000000"/>
          <w:sz w:val="24"/>
          <w:szCs w:val="24"/>
          <w:lang w:eastAsia="tr-TR"/>
        </w:rPr>
      </w:pPr>
      <w:r w:rsidRPr="007B21AB">
        <w:rPr>
          <w:rFonts w:ascii="Arial" w:eastAsia="Times New Roman" w:hAnsi="Arial" w:cs="Arial"/>
          <w:b/>
          <w:bCs/>
          <w:color w:val="000000"/>
          <w:sz w:val="24"/>
          <w:szCs w:val="24"/>
          <w:lang w:eastAsia="tr-TR"/>
        </w:rPr>
        <w:t>İlgili TTK maddesi</w:t>
      </w:r>
      <w:r w:rsidR="004C4222" w:rsidRPr="007B21AB">
        <w:rPr>
          <w:rFonts w:ascii="Arial" w:eastAsia="Times New Roman" w:hAnsi="Arial" w:cs="Arial"/>
          <w:b/>
          <w:bCs/>
          <w:color w:val="000000"/>
          <w:sz w:val="24"/>
          <w:szCs w:val="24"/>
          <w:lang w:eastAsia="tr-TR"/>
        </w:rPr>
        <w:t xml:space="preserve">ne </w:t>
      </w:r>
      <w:proofErr w:type="gramStart"/>
      <w:r w:rsidR="004C4222" w:rsidRPr="007B21AB">
        <w:rPr>
          <w:rFonts w:ascii="Arial" w:eastAsia="Times New Roman" w:hAnsi="Arial" w:cs="Arial"/>
          <w:b/>
          <w:bCs/>
          <w:color w:val="000000"/>
          <w:sz w:val="24"/>
          <w:szCs w:val="24"/>
          <w:lang w:eastAsia="tr-TR"/>
        </w:rPr>
        <w:t xml:space="preserve">göre </w:t>
      </w:r>
      <w:r w:rsidRPr="007B21AB">
        <w:rPr>
          <w:rFonts w:ascii="Arial" w:eastAsia="Times New Roman" w:hAnsi="Arial" w:cs="Arial"/>
          <w:b/>
          <w:bCs/>
          <w:color w:val="000000"/>
          <w:sz w:val="24"/>
          <w:szCs w:val="24"/>
          <w:lang w:eastAsia="tr-TR"/>
        </w:rPr>
        <w:t xml:space="preserve"> sermayenin</w:t>
      </w:r>
      <w:proofErr w:type="gramEnd"/>
      <w:r w:rsidRPr="007B21AB">
        <w:rPr>
          <w:rFonts w:ascii="Arial" w:eastAsia="Times New Roman" w:hAnsi="Arial" w:cs="Arial"/>
          <w:b/>
          <w:bCs/>
          <w:color w:val="000000"/>
          <w:sz w:val="24"/>
          <w:szCs w:val="24"/>
          <w:lang w:eastAsia="tr-TR"/>
        </w:rPr>
        <w:t xml:space="preserve"> kaybı, borca batık olma durumu</w:t>
      </w:r>
      <w:r w:rsidR="004C4222" w:rsidRPr="007B21AB">
        <w:rPr>
          <w:rFonts w:ascii="Arial" w:eastAsia="Times New Roman" w:hAnsi="Arial" w:cs="Arial"/>
          <w:b/>
          <w:bCs/>
          <w:color w:val="000000"/>
          <w:sz w:val="24"/>
          <w:szCs w:val="24"/>
          <w:lang w:eastAsia="tr-TR"/>
        </w:rPr>
        <w:t xml:space="preserve">nu irdeleyen TTK. Madde 376 aynen aşağıda verilmiştir. </w:t>
      </w:r>
    </w:p>
    <w:p w:rsidR="004C4222" w:rsidRPr="007B21AB" w:rsidRDefault="004C4222" w:rsidP="004C4222">
      <w:pPr>
        <w:shd w:val="clear" w:color="auto" w:fill="FFFFFF"/>
        <w:spacing w:after="0" w:line="240" w:lineRule="auto"/>
        <w:ind w:firstLine="708"/>
        <w:rPr>
          <w:rFonts w:ascii="Arial" w:eastAsia="Times New Roman" w:hAnsi="Arial" w:cs="Arial"/>
          <w:color w:val="000000"/>
          <w:sz w:val="24"/>
          <w:szCs w:val="24"/>
          <w:lang w:eastAsia="tr-TR"/>
        </w:rPr>
      </w:pPr>
    </w:p>
    <w:p w:rsidR="006B6979" w:rsidRPr="007B21AB" w:rsidRDefault="006B6979" w:rsidP="006B6979">
      <w:pPr>
        <w:shd w:val="clear" w:color="auto" w:fill="FFFFFF"/>
        <w:spacing w:after="0" w:line="240" w:lineRule="auto"/>
        <w:rPr>
          <w:rFonts w:ascii="Arial" w:eastAsia="Times New Roman" w:hAnsi="Arial" w:cs="Arial"/>
          <w:color w:val="000000"/>
          <w:sz w:val="24"/>
          <w:szCs w:val="24"/>
          <w:lang w:eastAsia="tr-TR"/>
        </w:rPr>
      </w:pPr>
      <w:r w:rsidRPr="007B21AB">
        <w:rPr>
          <w:rFonts w:ascii="Arial" w:eastAsia="Times New Roman" w:hAnsi="Arial" w:cs="Arial"/>
          <w:b/>
          <w:bCs/>
          <w:color w:val="000000"/>
          <w:sz w:val="24"/>
          <w:szCs w:val="24"/>
          <w:lang w:eastAsia="tr-TR"/>
        </w:rPr>
        <w:t> </w:t>
      </w:r>
      <w:r w:rsidRPr="007B21AB">
        <w:rPr>
          <w:rFonts w:ascii="Arial" w:eastAsia="Times New Roman" w:hAnsi="Arial" w:cs="Arial"/>
          <w:b/>
          <w:bCs/>
          <w:i/>
          <w:iCs/>
          <w:color w:val="000000"/>
          <w:sz w:val="24"/>
          <w:szCs w:val="24"/>
          <w:u w:val="single"/>
          <w:lang w:eastAsia="tr-TR"/>
        </w:rPr>
        <w:t>MADDE 376</w:t>
      </w:r>
      <w:r w:rsidRPr="007B21AB">
        <w:rPr>
          <w:rFonts w:ascii="Arial" w:eastAsia="Times New Roman" w:hAnsi="Arial" w:cs="Arial"/>
          <w:i/>
          <w:iCs/>
          <w:color w:val="000000"/>
          <w:sz w:val="24"/>
          <w:szCs w:val="24"/>
          <w:u w:val="single"/>
          <w:lang w:eastAsia="tr-TR"/>
        </w:rPr>
        <w:t>-</w:t>
      </w:r>
      <w:r w:rsidRPr="007B21AB">
        <w:rPr>
          <w:rFonts w:ascii="Arial" w:eastAsia="Times New Roman" w:hAnsi="Arial" w:cs="Arial"/>
          <w:b/>
          <w:bCs/>
          <w:i/>
          <w:iCs/>
          <w:color w:val="000000"/>
          <w:sz w:val="24"/>
          <w:szCs w:val="24"/>
          <w:u w:val="single"/>
          <w:lang w:eastAsia="tr-TR"/>
        </w:rPr>
        <w:t> </w:t>
      </w:r>
      <w:r w:rsidRPr="007B21AB">
        <w:rPr>
          <w:rFonts w:ascii="Arial" w:eastAsia="Times New Roman" w:hAnsi="Arial" w:cs="Arial"/>
          <w:i/>
          <w:iCs/>
          <w:color w:val="000000"/>
          <w:sz w:val="24"/>
          <w:szCs w:val="24"/>
          <w:u w:val="single"/>
          <w:lang w:eastAsia="tr-TR"/>
        </w:rPr>
        <w:t>(1) Son yıllık bilançodan, sermaye ile kanuni yedek akçeler toplamının yarısının zarar         sebebiyle karşılıksız kaldığı anlaşılırsa, yönetim kurulu, genel kurulu hemen toplantıya çağırır ve bu genel kurula uygun gördüğü iyileştirici önlemleri sunar.</w:t>
      </w:r>
    </w:p>
    <w:p w:rsidR="006B6979" w:rsidRPr="007B21AB" w:rsidRDefault="006B6979" w:rsidP="006B6979">
      <w:pPr>
        <w:shd w:val="clear" w:color="auto" w:fill="FFFFFF"/>
        <w:spacing w:after="0" w:line="240" w:lineRule="auto"/>
        <w:rPr>
          <w:rFonts w:ascii="Arial" w:eastAsia="Times New Roman" w:hAnsi="Arial" w:cs="Arial"/>
          <w:color w:val="000000"/>
          <w:sz w:val="24"/>
          <w:szCs w:val="24"/>
          <w:lang w:eastAsia="tr-TR"/>
        </w:rPr>
      </w:pPr>
      <w:r w:rsidRPr="007B21AB">
        <w:rPr>
          <w:rFonts w:ascii="Arial" w:eastAsia="Times New Roman" w:hAnsi="Arial" w:cs="Arial"/>
          <w:i/>
          <w:iCs/>
          <w:color w:val="000000"/>
          <w:sz w:val="24"/>
          <w:szCs w:val="24"/>
          <w:u w:val="single"/>
          <w:lang w:eastAsia="tr-TR"/>
        </w:rPr>
        <w:t>(2) Son yıllık bilançoya göre, sermaye ile kanuni yedek akçeler toplamının üçte ikisinin zarar sebebiyle karşılıksız kaldığı anlaşıldığı takdirde, derhâl toplantıya çağrılan genel kurul, sermayenin üçte biri ile yetinme veya sermayenin tamamlanmasına karar vermediği takdirde şirket kendiliğinden sona erer</w:t>
      </w:r>
      <w:r w:rsidRPr="007B21AB">
        <w:rPr>
          <w:rFonts w:ascii="Arial" w:eastAsia="Times New Roman" w:hAnsi="Arial" w:cs="Arial"/>
          <w:color w:val="000000"/>
          <w:sz w:val="24"/>
          <w:szCs w:val="24"/>
          <w:lang w:eastAsia="tr-TR"/>
        </w:rPr>
        <w:t>.</w:t>
      </w:r>
    </w:p>
    <w:p w:rsidR="004C4222" w:rsidRPr="007B21AB" w:rsidRDefault="004C4222" w:rsidP="006B6979">
      <w:pPr>
        <w:shd w:val="clear" w:color="auto" w:fill="FFFFFF"/>
        <w:spacing w:after="0" w:line="240" w:lineRule="auto"/>
        <w:rPr>
          <w:rFonts w:ascii="Arial" w:eastAsia="Times New Roman" w:hAnsi="Arial" w:cs="Arial"/>
          <w:color w:val="000000"/>
          <w:sz w:val="24"/>
          <w:szCs w:val="24"/>
          <w:lang w:eastAsia="tr-TR"/>
        </w:rPr>
      </w:pPr>
    </w:p>
    <w:p w:rsidR="004C4222" w:rsidRPr="007B21AB" w:rsidRDefault="004C4222" w:rsidP="006B6979">
      <w:pPr>
        <w:shd w:val="clear" w:color="auto" w:fill="FFFFFF"/>
        <w:spacing w:after="0" w:line="240" w:lineRule="auto"/>
        <w:rPr>
          <w:rFonts w:ascii="Arial" w:eastAsia="Times New Roman" w:hAnsi="Arial" w:cs="Arial"/>
          <w:color w:val="000000"/>
          <w:sz w:val="24"/>
          <w:szCs w:val="24"/>
          <w:lang w:eastAsia="tr-TR"/>
        </w:rPr>
      </w:pPr>
      <w:r w:rsidRPr="007B21AB">
        <w:rPr>
          <w:rFonts w:ascii="Arial" w:eastAsia="Times New Roman" w:hAnsi="Arial" w:cs="Arial"/>
          <w:color w:val="000000"/>
          <w:sz w:val="24"/>
          <w:szCs w:val="24"/>
          <w:lang w:eastAsia="tr-TR"/>
        </w:rPr>
        <w:tab/>
        <w:t xml:space="preserve">Burada bizim diyebileceğimiz </w:t>
      </w:r>
      <w:proofErr w:type="gramStart"/>
      <w:r w:rsidRPr="007B21AB">
        <w:rPr>
          <w:rFonts w:ascii="Arial" w:eastAsia="Times New Roman" w:hAnsi="Arial" w:cs="Arial"/>
          <w:color w:val="000000"/>
          <w:sz w:val="24"/>
          <w:szCs w:val="24"/>
          <w:lang w:eastAsia="tr-TR"/>
        </w:rPr>
        <w:t>(</w:t>
      </w:r>
      <w:proofErr w:type="spellStart"/>
      <w:proofErr w:type="gramEnd"/>
      <w:r w:rsidRPr="007B21AB">
        <w:rPr>
          <w:rFonts w:ascii="Arial" w:eastAsia="Times New Roman" w:hAnsi="Arial" w:cs="Arial"/>
          <w:color w:val="000000"/>
          <w:sz w:val="24"/>
          <w:szCs w:val="24"/>
          <w:lang w:eastAsia="tr-TR"/>
        </w:rPr>
        <w:t>eey</w:t>
      </w:r>
      <w:proofErr w:type="spellEnd"/>
      <w:r w:rsidRPr="007B21AB">
        <w:rPr>
          <w:rFonts w:ascii="Arial" w:eastAsia="Times New Roman" w:hAnsi="Arial" w:cs="Arial"/>
          <w:color w:val="000000"/>
          <w:sz w:val="24"/>
          <w:szCs w:val="24"/>
          <w:lang w:eastAsia="tr-TR"/>
        </w:rPr>
        <w:t xml:space="preserve"> işletme sahipleri, durumu öğrenin, af yasasından yararlanmaya çalışırken işinizi sonlandırmayın tavsiyesinde bulunmaktır. </w:t>
      </w:r>
    </w:p>
    <w:p w:rsidR="006B6979" w:rsidRPr="007B21AB" w:rsidRDefault="006B6979" w:rsidP="00F80B60">
      <w:pPr>
        <w:rPr>
          <w:rFonts w:ascii="Arial" w:eastAsia="Times New Roman" w:hAnsi="Arial" w:cs="Arial"/>
          <w:color w:val="3C3C3C"/>
          <w:sz w:val="24"/>
          <w:szCs w:val="24"/>
          <w:lang w:eastAsia="tr-TR"/>
        </w:rPr>
      </w:pPr>
      <w:r w:rsidRPr="007B21AB">
        <w:rPr>
          <w:rFonts w:ascii="Arial" w:hAnsi="Arial" w:cs="Arial"/>
          <w:sz w:val="24"/>
          <w:szCs w:val="24"/>
        </w:rPr>
        <w:tab/>
      </w:r>
      <w:r w:rsidR="004C4222" w:rsidRPr="007B21AB">
        <w:rPr>
          <w:rFonts w:ascii="Arial" w:hAnsi="Arial" w:cs="Arial"/>
          <w:sz w:val="24"/>
          <w:szCs w:val="24"/>
        </w:rPr>
        <w:t>Maddeyi bir başka gözle incelediğimizde bu madde ile sadece genel kurulun toplantıya çağırılması değil, genel kurulun iyileştirici önlemler alması gerektiği de göz önüne alınmıştır.</w:t>
      </w:r>
      <w:r w:rsidR="00F80B60" w:rsidRPr="007B21AB">
        <w:rPr>
          <w:rFonts w:ascii="Arial" w:eastAsia="Times New Roman" w:hAnsi="Arial" w:cs="Arial"/>
          <w:b/>
          <w:bCs/>
          <w:color w:val="060606"/>
          <w:sz w:val="24"/>
          <w:szCs w:val="24"/>
          <w:lang w:eastAsia="tr-TR"/>
        </w:rPr>
        <w:t xml:space="preserve"> </w:t>
      </w:r>
      <w:r w:rsidR="00F80B60" w:rsidRPr="007B21AB">
        <w:rPr>
          <w:rFonts w:ascii="Arial" w:eastAsia="Times New Roman" w:hAnsi="Arial" w:cs="Arial"/>
          <w:bCs/>
          <w:color w:val="060606"/>
          <w:sz w:val="24"/>
          <w:szCs w:val="24"/>
          <w:lang w:eastAsia="tr-TR"/>
        </w:rPr>
        <w:t xml:space="preserve">Yine madde, </w:t>
      </w:r>
      <w:r w:rsidRPr="007B21AB">
        <w:rPr>
          <w:rFonts w:ascii="Arial" w:eastAsia="Times New Roman" w:hAnsi="Arial" w:cs="Arial"/>
          <w:color w:val="060606"/>
          <w:sz w:val="24"/>
          <w:szCs w:val="24"/>
          <w:lang w:eastAsia="tr-TR"/>
        </w:rPr>
        <w:t>pay sahiplerinin, alacaklıların, sermaye piyasası aktörlerinin yatırımlarını ve genel ekonomik menfaatlerini koruma</w:t>
      </w:r>
      <w:r w:rsidR="00F80B60" w:rsidRPr="007B21AB">
        <w:rPr>
          <w:rFonts w:ascii="Arial" w:eastAsia="Times New Roman" w:hAnsi="Arial" w:cs="Arial"/>
          <w:color w:val="060606"/>
          <w:sz w:val="24"/>
          <w:szCs w:val="24"/>
          <w:lang w:eastAsia="tr-TR"/>
        </w:rPr>
        <w:t xml:space="preserve"> amacını gütmektedir.</w:t>
      </w:r>
    </w:p>
    <w:p w:rsidR="00F80B60" w:rsidRPr="007B21AB" w:rsidRDefault="006B6979" w:rsidP="00F80B60">
      <w:pPr>
        <w:shd w:val="clear" w:color="auto" w:fill="FFFFFF"/>
        <w:spacing w:after="0" w:line="224" w:lineRule="atLeast"/>
        <w:ind w:firstLine="143"/>
        <w:jc w:val="both"/>
        <w:rPr>
          <w:rFonts w:ascii="Arial" w:eastAsia="Times New Roman" w:hAnsi="Arial" w:cs="Arial"/>
          <w:color w:val="060606"/>
          <w:sz w:val="24"/>
          <w:szCs w:val="24"/>
          <w:lang w:eastAsia="tr-TR"/>
        </w:rPr>
      </w:pPr>
      <w:r w:rsidRPr="007B21AB">
        <w:rPr>
          <w:rFonts w:ascii="Arial" w:eastAsia="Times New Roman" w:hAnsi="Arial" w:cs="Arial"/>
          <w:color w:val="060606"/>
          <w:sz w:val="24"/>
          <w:szCs w:val="24"/>
          <w:lang w:eastAsia="tr-TR"/>
        </w:rPr>
        <w:t> </w:t>
      </w:r>
      <w:r w:rsidRPr="007B21AB">
        <w:rPr>
          <w:rFonts w:ascii="Arial" w:eastAsia="Times New Roman" w:hAnsi="Arial" w:cs="Arial"/>
          <w:color w:val="060606"/>
          <w:sz w:val="24"/>
          <w:szCs w:val="24"/>
          <w:lang w:eastAsia="tr-TR"/>
        </w:rPr>
        <w:br/>
      </w:r>
      <w:r w:rsidR="00F80B60" w:rsidRPr="007B21AB">
        <w:rPr>
          <w:rFonts w:ascii="Arial" w:eastAsia="Times New Roman" w:hAnsi="Arial" w:cs="Arial"/>
          <w:color w:val="060606"/>
          <w:sz w:val="24"/>
          <w:szCs w:val="24"/>
          <w:lang w:eastAsia="tr-TR"/>
        </w:rPr>
        <w:t xml:space="preserve">              </w:t>
      </w:r>
      <w:r w:rsidRPr="007B21AB">
        <w:rPr>
          <w:rFonts w:ascii="Arial" w:eastAsia="Times New Roman" w:hAnsi="Arial" w:cs="Arial"/>
          <w:color w:val="060606"/>
          <w:sz w:val="24"/>
          <w:szCs w:val="24"/>
          <w:lang w:eastAsia="tr-TR"/>
        </w:rPr>
        <w:t xml:space="preserve">376/1 uyarınca, son yıllık bilânçodan sermaye ile kanunî yedek akçeler toplamının yarısının zararlar sonucu karşılıksız kaldığının, yani yitirilmiş bulunduğunun anlaşılması halinde, yönetim kurulu, genel kurulu hemen toplantıya çağırmaya ve uygun gördüğü gerekli önlemleri kurula sunmak zorundadır. </w:t>
      </w:r>
    </w:p>
    <w:p w:rsidR="00F80B60" w:rsidRPr="007B21AB" w:rsidRDefault="00F80B60" w:rsidP="00F80B60">
      <w:pPr>
        <w:shd w:val="clear" w:color="auto" w:fill="FFFFFF"/>
        <w:spacing w:after="0" w:line="224" w:lineRule="atLeast"/>
        <w:ind w:firstLine="708"/>
        <w:jc w:val="both"/>
        <w:rPr>
          <w:rFonts w:ascii="Arial" w:eastAsia="Times New Roman" w:hAnsi="Arial" w:cs="Arial"/>
          <w:color w:val="060606"/>
          <w:sz w:val="24"/>
          <w:szCs w:val="24"/>
          <w:lang w:eastAsia="tr-TR"/>
        </w:rPr>
      </w:pPr>
      <w:r w:rsidRPr="007B21AB">
        <w:rPr>
          <w:rFonts w:ascii="Arial" w:eastAsia="Times New Roman" w:hAnsi="Arial" w:cs="Arial"/>
          <w:color w:val="060606"/>
          <w:sz w:val="24"/>
          <w:szCs w:val="24"/>
          <w:lang w:eastAsia="tr-TR"/>
        </w:rPr>
        <w:t xml:space="preserve">Alınabilecek önlemler: </w:t>
      </w:r>
    </w:p>
    <w:p w:rsidR="00F80B60" w:rsidRPr="007B21AB" w:rsidRDefault="00F80B60" w:rsidP="00F80B60">
      <w:pPr>
        <w:pStyle w:val="ListeParagraf"/>
        <w:numPr>
          <w:ilvl w:val="0"/>
          <w:numId w:val="3"/>
        </w:numPr>
        <w:shd w:val="clear" w:color="auto" w:fill="FFFFFF"/>
        <w:spacing w:after="0" w:line="224" w:lineRule="atLeast"/>
        <w:jc w:val="both"/>
        <w:rPr>
          <w:rFonts w:ascii="Arial" w:eastAsia="Times New Roman" w:hAnsi="Arial" w:cs="Arial"/>
          <w:color w:val="3C3C3C"/>
          <w:sz w:val="24"/>
          <w:szCs w:val="24"/>
          <w:lang w:eastAsia="tr-TR"/>
        </w:rPr>
      </w:pPr>
      <w:r w:rsidRPr="007B21AB">
        <w:rPr>
          <w:rFonts w:ascii="Arial" w:eastAsia="Times New Roman" w:hAnsi="Arial" w:cs="Arial"/>
          <w:color w:val="060606"/>
          <w:sz w:val="24"/>
          <w:szCs w:val="24"/>
          <w:lang w:eastAsia="tr-TR"/>
        </w:rPr>
        <w:t>Sermaye artırımı</w:t>
      </w:r>
    </w:p>
    <w:p w:rsidR="00F80B60" w:rsidRPr="007B21AB" w:rsidRDefault="00F80B60" w:rsidP="00F80B60">
      <w:pPr>
        <w:pStyle w:val="ListeParagraf"/>
        <w:numPr>
          <w:ilvl w:val="0"/>
          <w:numId w:val="3"/>
        </w:numPr>
        <w:shd w:val="clear" w:color="auto" w:fill="FFFFFF"/>
        <w:spacing w:after="0" w:line="224" w:lineRule="atLeast"/>
        <w:jc w:val="both"/>
        <w:rPr>
          <w:rFonts w:ascii="Arial" w:eastAsia="Times New Roman" w:hAnsi="Arial" w:cs="Arial"/>
          <w:color w:val="3C3C3C"/>
          <w:sz w:val="24"/>
          <w:szCs w:val="24"/>
          <w:lang w:eastAsia="tr-TR"/>
        </w:rPr>
      </w:pPr>
      <w:r w:rsidRPr="007B21AB">
        <w:rPr>
          <w:rFonts w:ascii="Arial" w:eastAsia="Times New Roman" w:hAnsi="Arial" w:cs="Arial"/>
          <w:color w:val="060606"/>
          <w:sz w:val="24"/>
          <w:szCs w:val="24"/>
          <w:lang w:eastAsia="tr-TR"/>
        </w:rPr>
        <w:t xml:space="preserve">Bazı birimlerin kapatılması veya küçültülmesi </w:t>
      </w:r>
    </w:p>
    <w:p w:rsidR="00F80B60" w:rsidRPr="007B21AB" w:rsidRDefault="00F80B60" w:rsidP="00F80B60">
      <w:pPr>
        <w:pStyle w:val="ListeParagraf"/>
        <w:numPr>
          <w:ilvl w:val="0"/>
          <w:numId w:val="3"/>
        </w:numPr>
        <w:shd w:val="clear" w:color="auto" w:fill="FFFFFF"/>
        <w:spacing w:after="0" w:line="224" w:lineRule="atLeast"/>
        <w:jc w:val="both"/>
        <w:rPr>
          <w:rFonts w:ascii="Arial" w:eastAsia="Times New Roman" w:hAnsi="Arial" w:cs="Arial"/>
          <w:color w:val="3C3C3C"/>
          <w:sz w:val="24"/>
          <w:szCs w:val="24"/>
          <w:lang w:eastAsia="tr-TR"/>
        </w:rPr>
      </w:pPr>
      <w:r w:rsidRPr="007B21AB">
        <w:rPr>
          <w:rFonts w:ascii="Arial" w:eastAsia="Times New Roman" w:hAnsi="Arial" w:cs="Arial"/>
          <w:color w:val="060606"/>
          <w:sz w:val="24"/>
          <w:szCs w:val="24"/>
          <w:lang w:eastAsia="tr-TR"/>
        </w:rPr>
        <w:t>İ</w:t>
      </w:r>
      <w:r w:rsidR="006B6979" w:rsidRPr="007B21AB">
        <w:rPr>
          <w:rFonts w:ascii="Arial" w:eastAsia="Times New Roman" w:hAnsi="Arial" w:cs="Arial"/>
          <w:color w:val="060606"/>
          <w:sz w:val="24"/>
          <w:szCs w:val="24"/>
          <w:lang w:eastAsia="tr-TR"/>
        </w:rPr>
        <w:t>ştiraklerin satışı,</w:t>
      </w:r>
    </w:p>
    <w:p w:rsidR="00F80B60" w:rsidRPr="007B21AB" w:rsidRDefault="00F80B60" w:rsidP="00F80B60">
      <w:pPr>
        <w:pStyle w:val="ListeParagraf"/>
        <w:numPr>
          <w:ilvl w:val="0"/>
          <w:numId w:val="3"/>
        </w:numPr>
        <w:shd w:val="clear" w:color="auto" w:fill="FFFFFF"/>
        <w:spacing w:after="0" w:line="224" w:lineRule="atLeast"/>
        <w:jc w:val="both"/>
        <w:rPr>
          <w:rFonts w:ascii="Arial" w:eastAsia="Times New Roman" w:hAnsi="Arial" w:cs="Arial"/>
          <w:color w:val="3C3C3C"/>
          <w:sz w:val="24"/>
          <w:szCs w:val="24"/>
          <w:lang w:eastAsia="tr-TR"/>
        </w:rPr>
      </w:pPr>
      <w:r w:rsidRPr="007B21AB">
        <w:rPr>
          <w:rFonts w:ascii="Arial" w:eastAsia="Times New Roman" w:hAnsi="Arial" w:cs="Arial"/>
          <w:color w:val="060606"/>
          <w:sz w:val="24"/>
          <w:szCs w:val="24"/>
          <w:lang w:eastAsia="tr-TR"/>
        </w:rPr>
        <w:t>P</w:t>
      </w:r>
      <w:r w:rsidR="006B6979" w:rsidRPr="007B21AB">
        <w:rPr>
          <w:rFonts w:ascii="Arial" w:eastAsia="Times New Roman" w:hAnsi="Arial" w:cs="Arial"/>
          <w:color w:val="060606"/>
          <w:sz w:val="24"/>
          <w:szCs w:val="24"/>
          <w:lang w:eastAsia="tr-TR"/>
        </w:rPr>
        <w:t xml:space="preserve">azarlama sisteminin değiştirilmesi vs. olabilir. </w:t>
      </w:r>
    </w:p>
    <w:p w:rsidR="00F80B60" w:rsidRPr="007B21AB" w:rsidRDefault="006B6979" w:rsidP="00F80B60">
      <w:pPr>
        <w:pStyle w:val="ListeParagraf"/>
        <w:numPr>
          <w:ilvl w:val="0"/>
          <w:numId w:val="3"/>
        </w:numPr>
        <w:shd w:val="clear" w:color="auto" w:fill="FFFFFF"/>
        <w:spacing w:after="0" w:line="224" w:lineRule="atLeast"/>
        <w:jc w:val="both"/>
        <w:rPr>
          <w:rFonts w:ascii="Arial" w:eastAsia="Times New Roman" w:hAnsi="Arial" w:cs="Arial"/>
          <w:color w:val="3C3C3C"/>
          <w:sz w:val="24"/>
          <w:szCs w:val="24"/>
          <w:lang w:eastAsia="tr-TR"/>
        </w:rPr>
      </w:pPr>
      <w:r w:rsidRPr="007B21AB">
        <w:rPr>
          <w:rFonts w:ascii="Arial" w:eastAsia="Times New Roman" w:hAnsi="Arial" w:cs="Arial"/>
          <w:color w:val="060606"/>
          <w:sz w:val="24"/>
          <w:szCs w:val="24"/>
          <w:lang w:eastAsia="tr-TR"/>
        </w:rPr>
        <w:t>Önlemler 378’inci madde uyarınca tehlikelerin erken teşhisi komitesince de zaten daha önceki tarihlerde önerilmiş olabilir.</w:t>
      </w:r>
    </w:p>
    <w:p w:rsidR="00F80B60" w:rsidRPr="007B21AB" w:rsidRDefault="00F80B60" w:rsidP="00F80B60">
      <w:pPr>
        <w:pStyle w:val="ListeParagraf"/>
        <w:numPr>
          <w:ilvl w:val="0"/>
          <w:numId w:val="3"/>
        </w:numPr>
        <w:shd w:val="clear" w:color="auto" w:fill="FFFFFF"/>
        <w:spacing w:after="0" w:line="224" w:lineRule="atLeast"/>
        <w:jc w:val="both"/>
        <w:rPr>
          <w:rFonts w:ascii="Arial" w:eastAsia="Times New Roman" w:hAnsi="Arial" w:cs="Arial"/>
          <w:color w:val="3C3C3C"/>
          <w:sz w:val="24"/>
          <w:szCs w:val="24"/>
          <w:lang w:eastAsia="tr-TR"/>
        </w:rPr>
      </w:pPr>
      <w:r w:rsidRPr="007B21AB">
        <w:rPr>
          <w:rFonts w:ascii="Arial" w:eastAsia="Times New Roman" w:hAnsi="Arial" w:cs="Arial"/>
          <w:color w:val="060606"/>
          <w:sz w:val="24"/>
          <w:szCs w:val="24"/>
          <w:lang w:eastAsia="tr-TR"/>
        </w:rPr>
        <w:t>Yukarıdaki düşünülen önlemlerin</w:t>
      </w:r>
      <w:r w:rsidR="006B6979" w:rsidRPr="007B21AB">
        <w:rPr>
          <w:rFonts w:ascii="Arial" w:eastAsia="Times New Roman" w:hAnsi="Arial" w:cs="Arial"/>
          <w:color w:val="060606"/>
          <w:sz w:val="24"/>
          <w:szCs w:val="24"/>
          <w:lang w:eastAsia="tr-TR"/>
        </w:rPr>
        <w:t xml:space="preserve"> uygulanabilmesi için, kanunî yedek akçeler dışındaki açık yedek akçelerle de zararın kapanmamış olması ve arta kalan zararın sermaye ile kanunî yedek akçeler toplamının yarısını geçmesi gerekir</w:t>
      </w:r>
      <w:r w:rsidRPr="007B21AB">
        <w:rPr>
          <w:rFonts w:ascii="Arial" w:eastAsia="Times New Roman" w:hAnsi="Arial" w:cs="Arial"/>
          <w:color w:val="060606"/>
          <w:sz w:val="24"/>
          <w:szCs w:val="24"/>
          <w:lang w:eastAsia="tr-TR"/>
        </w:rPr>
        <w:t>.</w:t>
      </w:r>
    </w:p>
    <w:p w:rsidR="00F80B60" w:rsidRPr="007B21AB" w:rsidRDefault="00F80B60" w:rsidP="00F80B60">
      <w:pPr>
        <w:shd w:val="clear" w:color="auto" w:fill="FFFFFF"/>
        <w:spacing w:after="0" w:line="224" w:lineRule="atLeast"/>
        <w:ind w:left="708"/>
        <w:jc w:val="both"/>
        <w:rPr>
          <w:rFonts w:ascii="Arial" w:eastAsia="Times New Roman" w:hAnsi="Arial" w:cs="Arial"/>
          <w:color w:val="3C3C3C"/>
          <w:sz w:val="24"/>
          <w:szCs w:val="24"/>
          <w:lang w:eastAsia="tr-TR"/>
        </w:rPr>
      </w:pPr>
    </w:p>
    <w:p w:rsidR="00F80B60" w:rsidRPr="007B21AB" w:rsidRDefault="00F80B60" w:rsidP="00F80B60">
      <w:pPr>
        <w:shd w:val="clear" w:color="auto" w:fill="FFFFFF"/>
        <w:spacing w:after="0" w:line="224" w:lineRule="atLeast"/>
        <w:ind w:left="708"/>
        <w:jc w:val="both"/>
        <w:rPr>
          <w:rFonts w:ascii="Arial" w:eastAsia="Times New Roman" w:hAnsi="Arial" w:cs="Arial"/>
          <w:color w:val="3C3C3C"/>
          <w:sz w:val="24"/>
          <w:szCs w:val="24"/>
          <w:lang w:eastAsia="tr-TR"/>
        </w:rPr>
      </w:pPr>
      <w:r w:rsidRPr="007B21AB">
        <w:rPr>
          <w:rFonts w:ascii="Arial" w:eastAsia="Times New Roman" w:hAnsi="Arial" w:cs="Arial"/>
          <w:color w:val="3C3C3C"/>
          <w:sz w:val="24"/>
          <w:szCs w:val="24"/>
          <w:lang w:eastAsia="tr-TR"/>
        </w:rPr>
        <w:t xml:space="preserve">Kanunda, gerek 6111 ve gerekse 6552 sayılı torba yasalar veya af yasasından dolayı doğan bu geçmiş yıl zararları tipi göz önüne alınmamıştır. Genel olarak geçmiş yıl zararlarından bahsedilmiştir. </w:t>
      </w:r>
      <w:proofErr w:type="gramStart"/>
      <w:r w:rsidRPr="007B21AB">
        <w:rPr>
          <w:rFonts w:ascii="Arial" w:eastAsia="Times New Roman" w:hAnsi="Arial" w:cs="Arial"/>
          <w:color w:val="3C3C3C"/>
          <w:sz w:val="24"/>
          <w:szCs w:val="24"/>
          <w:lang w:eastAsia="tr-TR"/>
        </w:rPr>
        <w:t>Oysa,</w:t>
      </w:r>
      <w:proofErr w:type="gramEnd"/>
      <w:r w:rsidRPr="007B21AB">
        <w:rPr>
          <w:rFonts w:ascii="Arial" w:eastAsia="Times New Roman" w:hAnsi="Arial" w:cs="Arial"/>
          <w:color w:val="3C3C3C"/>
          <w:sz w:val="24"/>
          <w:szCs w:val="24"/>
          <w:lang w:eastAsia="tr-TR"/>
        </w:rPr>
        <w:t xml:space="preserve"> belki de firma karlı bir firmadır. Gayet iyi çalışan bir firmadır. Ama af yasasından yararlanmak, firmanın bilanço dengelerini bozmaktadır. </w:t>
      </w:r>
    </w:p>
    <w:p w:rsidR="00F80B60" w:rsidRPr="007B21AB" w:rsidRDefault="00F80B60" w:rsidP="00F80B60">
      <w:pPr>
        <w:shd w:val="clear" w:color="auto" w:fill="FFFFFF"/>
        <w:spacing w:after="0" w:line="224" w:lineRule="atLeast"/>
        <w:ind w:left="708"/>
        <w:jc w:val="both"/>
        <w:rPr>
          <w:rFonts w:ascii="Arial" w:eastAsia="Times New Roman" w:hAnsi="Arial" w:cs="Arial"/>
          <w:color w:val="3C3C3C"/>
          <w:sz w:val="24"/>
          <w:szCs w:val="24"/>
          <w:lang w:eastAsia="tr-TR"/>
        </w:rPr>
      </w:pPr>
    </w:p>
    <w:p w:rsidR="00F80B60" w:rsidRPr="007B21AB" w:rsidRDefault="00F80B60" w:rsidP="00F80B60">
      <w:pPr>
        <w:shd w:val="clear" w:color="auto" w:fill="FFFFFF"/>
        <w:spacing w:after="0" w:line="224" w:lineRule="atLeast"/>
        <w:ind w:left="708"/>
        <w:jc w:val="both"/>
        <w:rPr>
          <w:rFonts w:ascii="Arial" w:eastAsia="Times New Roman" w:hAnsi="Arial" w:cs="Arial"/>
          <w:color w:val="3C3C3C"/>
          <w:sz w:val="24"/>
          <w:szCs w:val="24"/>
          <w:lang w:eastAsia="tr-TR"/>
        </w:rPr>
      </w:pPr>
      <w:r w:rsidRPr="007B21AB">
        <w:rPr>
          <w:rFonts w:ascii="Arial" w:eastAsia="Times New Roman" w:hAnsi="Arial" w:cs="Arial"/>
          <w:color w:val="3C3C3C"/>
          <w:sz w:val="24"/>
          <w:szCs w:val="24"/>
          <w:lang w:eastAsia="tr-TR"/>
        </w:rPr>
        <w:t xml:space="preserve">Özellikle borsaya veya halka açık şirketlerde durum daha da ciddi ve acıklıdır. </w:t>
      </w:r>
    </w:p>
    <w:p w:rsidR="00F80B60" w:rsidRPr="007B21AB" w:rsidRDefault="00F80B60" w:rsidP="00F80B60">
      <w:pPr>
        <w:shd w:val="clear" w:color="auto" w:fill="FFFFFF"/>
        <w:spacing w:after="0" w:line="224" w:lineRule="atLeast"/>
        <w:ind w:left="708"/>
        <w:jc w:val="both"/>
        <w:rPr>
          <w:rFonts w:ascii="Arial" w:eastAsia="Times New Roman" w:hAnsi="Arial" w:cs="Arial"/>
          <w:color w:val="3C3C3C"/>
          <w:sz w:val="24"/>
          <w:szCs w:val="24"/>
          <w:lang w:eastAsia="tr-TR"/>
        </w:rPr>
      </w:pPr>
    </w:p>
    <w:p w:rsidR="00F80B60" w:rsidRPr="007B21AB" w:rsidRDefault="00F80B60" w:rsidP="00F80B60">
      <w:pPr>
        <w:shd w:val="clear" w:color="auto" w:fill="FFFFFF"/>
        <w:spacing w:after="0" w:line="224" w:lineRule="atLeast"/>
        <w:ind w:left="708"/>
        <w:jc w:val="both"/>
        <w:rPr>
          <w:rFonts w:ascii="Arial" w:eastAsia="Times New Roman" w:hAnsi="Arial" w:cs="Arial"/>
          <w:color w:val="3C3C3C"/>
          <w:sz w:val="24"/>
          <w:szCs w:val="24"/>
          <w:lang w:eastAsia="tr-TR"/>
        </w:rPr>
      </w:pPr>
      <w:r w:rsidRPr="007B21AB">
        <w:rPr>
          <w:rFonts w:ascii="Arial" w:eastAsia="Times New Roman" w:hAnsi="Arial" w:cs="Arial"/>
          <w:color w:val="3C3C3C"/>
          <w:sz w:val="24"/>
          <w:szCs w:val="24"/>
          <w:lang w:eastAsia="tr-TR"/>
        </w:rPr>
        <w:t>Diğer yandan, ülkemiz, artık Uluslararası Denetim Standartlarını da kabul etmiş ve Tür</w:t>
      </w:r>
      <w:r w:rsidR="002E6AA9" w:rsidRPr="007B21AB">
        <w:rPr>
          <w:rFonts w:ascii="Arial" w:eastAsia="Times New Roman" w:hAnsi="Arial" w:cs="Arial"/>
          <w:color w:val="3C3C3C"/>
          <w:sz w:val="24"/>
          <w:szCs w:val="24"/>
          <w:lang w:eastAsia="tr-TR"/>
        </w:rPr>
        <w:t xml:space="preserve">kiye Denetim Standartları, Türkiye Muhasebe </w:t>
      </w:r>
      <w:proofErr w:type="gramStart"/>
      <w:r w:rsidR="002E6AA9" w:rsidRPr="007B21AB">
        <w:rPr>
          <w:rFonts w:ascii="Arial" w:eastAsia="Times New Roman" w:hAnsi="Arial" w:cs="Arial"/>
          <w:color w:val="3C3C3C"/>
          <w:sz w:val="24"/>
          <w:szCs w:val="24"/>
          <w:lang w:eastAsia="tr-TR"/>
        </w:rPr>
        <w:t>Standartları,</w:t>
      </w:r>
      <w:proofErr w:type="gramEnd"/>
      <w:r w:rsidR="002E6AA9" w:rsidRPr="007B21AB">
        <w:rPr>
          <w:rFonts w:ascii="Arial" w:eastAsia="Times New Roman" w:hAnsi="Arial" w:cs="Arial"/>
          <w:color w:val="3C3C3C"/>
          <w:sz w:val="24"/>
          <w:szCs w:val="24"/>
          <w:lang w:eastAsia="tr-TR"/>
        </w:rPr>
        <w:t xml:space="preserve"> ve Türkiye Finansal Raporlama Standartlarını kabul ve ilan etmiş bir ülkedir. </w:t>
      </w:r>
    </w:p>
    <w:p w:rsidR="002E6AA9" w:rsidRPr="007B21AB" w:rsidRDefault="006B6979" w:rsidP="002E6AA9">
      <w:pPr>
        <w:shd w:val="clear" w:color="auto" w:fill="FFFFFF"/>
        <w:spacing w:after="0" w:line="224" w:lineRule="atLeast"/>
        <w:ind w:firstLine="851"/>
        <w:jc w:val="both"/>
        <w:rPr>
          <w:rFonts w:ascii="Arial" w:eastAsia="Times New Roman" w:hAnsi="Arial" w:cs="Arial"/>
          <w:color w:val="060606"/>
          <w:sz w:val="24"/>
          <w:szCs w:val="24"/>
          <w:lang w:eastAsia="tr-TR"/>
        </w:rPr>
      </w:pPr>
      <w:r w:rsidRPr="007B21AB">
        <w:rPr>
          <w:rFonts w:ascii="Arial" w:eastAsia="Times New Roman" w:hAnsi="Arial" w:cs="Arial"/>
          <w:color w:val="060606"/>
          <w:sz w:val="24"/>
          <w:szCs w:val="24"/>
          <w:lang w:eastAsia="tr-TR"/>
        </w:rPr>
        <w:t> </w:t>
      </w:r>
    </w:p>
    <w:p w:rsidR="002E6AA9" w:rsidRPr="007B21AB" w:rsidRDefault="002E6AA9" w:rsidP="002E6AA9">
      <w:pPr>
        <w:shd w:val="clear" w:color="auto" w:fill="FFFFFF"/>
        <w:spacing w:after="0" w:line="224" w:lineRule="atLeast"/>
        <w:jc w:val="both"/>
        <w:rPr>
          <w:rFonts w:ascii="Arial" w:eastAsia="Times New Roman" w:hAnsi="Arial" w:cs="Arial"/>
          <w:color w:val="060606"/>
          <w:sz w:val="24"/>
          <w:szCs w:val="24"/>
          <w:lang w:eastAsia="tr-TR"/>
        </w:rPr>
      </w:pPr>
    </w:p>
    <w:p w:rsidR="002E6AA9" w:rsidRPr="007B21AB" w:rsidRDefault="002E6AA9" w:rsidP="002E6AA9">
      <w:pPr>
        <w:shd w:val="clear" w:color="auto" w:fill="FFFFFF"/>
        <w:spacing w:after="0" w:line="224" w:lineRule="atLeast"/>
        <w:rPr>
          <w:rFonts w:ascii="Arial" w:eastAsia="Times New Roman" w:hAnsi="Arial" w:cs="Arial"/>
          <w:color w:val="060606"/>
          <w:sz w:val="24"/>
          <w:szCs w:val="24"/>
          <w:lang w:eastAsia="tr-TR"/>
        </w:rPr>
      </w:pPr>
      <w:r w:rsidRPr="007B21AB">
        <w:rPr>
          <w:rFonts w:ascii="Arial" w:eastAsia="Times New Roman" w:hAnsi="Arial" w:cs="Arial"/>
          <w:color w:val="060606"/>
          <w:sz w:val="24"/>
          <w:szCs w:val="24"/>
          <w:lang w:eastAsia="tr-TR"/>
        </w:rPr>
        <w:tab/>
        <w:t xml:space="preserve">Yukarıda bahsedilen dengeleri bozulmuş bilançoların bağımsız denetimi önleyecek bir durumdur, Böyle bir durumda firmanın, bağımsız denetim sonucunda olumlu rapor alması çok ama çok zordur. Olumlu bir bağımsız denetim raporu olmayınca: </w:t>
      </w:r>
    </w:p>
    <w:p w:rsidR="002E6AA9" w:rsidRPr="007B21AB" w:rsidRDefault="002E6AA9" w:rsidP="002E6AA9">
      <w:pPr>
        <w:pStyle w:val="ListeParagraf"/>
        <w:numPr>
          <w:ilvl w:val="0"/>
          <w:numId w:val="4"/>
        </w:numPr>
        <w:shd w:val="clear" w:color="auto" w:fill="FFFFFF"/>
        <w:spacing w:after="0" w:line="224" w:lineRule="atLeast"/>
        <w:rPr>
          <w:rFonts w:ascii="Arial" w:eastAsia="Times New Roman" w:hAnsi="Arial" w:cs="Arial"/>
          <w:color w:val="3C3C3C"/>
          <w:sz w:val="24"/>
          <w:szCs w:val="24"/>
          <w:lang w:eastAsia="tr-TR"/>
        </w:rPr>
      </w:pPr>
      <w:r w:rsidRPr="007B21AB">
        <w:rPr>
          <w:rFonts w:ascii="Arial" w:eastAsia="Times New Roman" w:hAnsi="Arial" w:cs="Arial"/>
          <w:bCs/>
          <w:color w:val="060606"/>
          <w:sz w:val="24"/>
          <w:szCs w:val="24"/>
          <w:lang w:eastAsia="tr-TR"/>
        </w:rPr>
        <w:t>TTK açısından genel kurul yapamazsınız</w:t>
      </w:r>
    </w:p>
    <w:p w:rsidR="002E6AA9" w:rsidRPr="007B21AB" w:rsidRDefault="002E6AA9" w:rsidP="002E6AA9">
      <w:pPr>
        <w:pStyle w:val="ListeParagraf"/>
        <w:numPr>
          <w:ilvl w:val="0"/>
          <w:numId w:val="4"/>
        </w:numPr>
        <w:shd w:val="clear" w:color="auto" w:fill="FFFFFF"/>
        <w:spacing w:after="0" w:line="224" w:lineRule="atLeast"/>
        <w:rPr>
          <w:rFonts w:ascii="Arial" w:eastAsia="Times New Roman" w:hAnsi="Arial" w:cs="Arial"/>
          <w:color w:val="3C3C3C"/>
          <w:sz w:val="24"/>
          <w:szCs w:val="24"/>
          <w:lang w:eastAsia="tr-TR"/>
        </w:rPr>
      </w:pPr>
      <w:r w:rsidRPr="007B21AB">
        <w:rPr>
          <w:rFonts w:ascii="Arial" w:eastAsia="Times New Roman" w:hAnsi="Arial" w:cs="Arial"/>
          <w:bCs/>
          <w:color w:val="060606"/>
          <w:sz w:val="24"/>
          <w:szCs w:val="24"/>
          <w:lang w:eastAsia="tr-TR"/>
        </w:rPr>
        <w:t>Bankalardan kredi alamazsınız</w:t>
      </w:r>
    </w:p>
    <w:p w:rsidR="002E6AA9" w:rsidRPr="007B21AB" w:rsidRDefault="002E6AA9" w:rsidP="002E6AA9">
      <w:pPr>
        <w:pStyle w:val="ListeParagraf"/>
        <w:numPr>
          <w:ilvl w:val="0"/>
          <w:numId w:val="4"/>
        </w:numPr>
        <w:shd w:val="clear" w:color="auto" w:fill="FFFFFF"/>
        <w:spacing w:after="0" w:line="224" w:lineRule="atLeast"/>
        <w:rPr>
          <w:rFonts w:ascii="Arial" w:eastAsia="Times New Roman" w:hAnsi="Arial" w:cs="Arial"/>
          <w:color w:val="3C3C3C"/>
          <w:sz w:val="24"/>
          <w:szCs w:val="24"/>
          <w:lang w:eastAsia="tr-TR"/>
        </w:rPr>
      </w:pPr>
      <w:r w:rsidRPr="007B21AB">
        <w:rPr>
          <w:rFonts w:ascii="Arial" w:eastAsia="Times New Roman" w:hAnsi="Arial" w:cs="Arial"/>
          <w:bCs/>
          <w:color w:val="060606"/>
          <w:sz w:val="24"/>
          <w:szCs w:val="24"/>
          <w:lang w:eastAsia="tr-TR"/>
        </w:rPr>
        <w:t xml:space="preserve">Yabancı ortaklar size gelmez. </w:t>
      </w:r>
    </w:p>
    <w:p w:rsidR="002E6AA9" w:rsidRPr="007B21AB" w:rsidRDefault="002E6AA9" w:rsidP="002E6AA9">
      <w:pPr>
        <w:pStyle w:val="ListeParagraf"/>
        <w:shd w:val="clear" w:color="auto" w:fill="FFFFFF"/>
        <w:spacing w:after="0" w:line="224" w:lineRule="atLeast"/>
        <w:ind w:left="1065"/>
        <w:rPr>
          <w:rFonts w:ascii="Arial" w:eastAsia="Times New Roman" w:hAnsi="Arial" w:cs="Arial"/>
          <w:bCs/>
          <w:color w:val="060606"/>
          <w:sz w:val="24"/>
          <w:szCs w:val="24"/>
          <w:lang w:eastAsia="tr-TR"/>
        </w:rPr>
      </w:pPr>
    </w:p>
    <w:p w:rsidR="006B6979" w:rsidRPr="007B21AB" w:rsidRDefault="002E6AA9" w:rsidP="002E6AA9">
      <w:pPr>
        <w:pStyle w:val="ListeParagraf"/>
        <w:shd w:val="clear" w:color="auto" w:fill="FFFFFF"/>
        <w:spacing w:after="0" w:line="224" w:lineRule="atLeast"/>
        <w:ind w:left="1065"/>
        <w:rPr>
          <w:rFonts w:ascii="Arial" w:eastAsia="Times New Roman" w:hAnsi="Arial" w:cs="Arial"/>
          <w:color w:val="3C3C3C"/>
          <w:sz w:val="24"/>
          <w:szCs w:val="24"/>
          <w:lang w:eastAsia="tr-TR"/>
        </w:rPr>
      </w:pPr>
      <w:r w:rsidRPr="007B21AB">
        <w:rPr>
          <w:rFonts w:ascii="Arial" w:eastAsia="Times New Roman" w:hAnsi="Arial" w:cs="Arial"/>
          <w:bCs/>
          <w:color w:val="060606"/>
          <w:sz w:val="24"/>
          <w:szCs w:val="24"/>
          <w:lang w:eastAsia="tr-TR"/>
        </w:rPr>
        <w:t xml:space="preserve">Öyle ise bu olaya bir çözüm bulmak gerekmektedir. Yıllardır bu çözüm konusu gündeme gelmekte ve fakat çözüm mümkün olmamaktadır. </w:t>
      </w:r>
      <w:proofErr w:type="gramStart"/>
      <w:r w:rsidRPr="007B21AB">
        <w:rPr>
          <w:rFonts w:ascii="Arial" w:eastAsia="Times New Roman" w:hAnsi="Arial" w:cs="Arial"/>
          <w:bCs/>
          <w:color w:val="060606"/>
          <w:sz w:val="24"/>
          <w:szCs w:val="24"/>
          <w:lang w:eastAsia="tr-TR"/>
        </w:rPr>
        <w:t>Biz , bu</w:t>
      </w:r>
      <w:proofErr w:type="gramEnd"/>
      <w:r w:rsidRPr="007B21AB">
        <w:rPr>
          <w:rFonts w:ascii="Arial" w:eastAsia="Times New Roman" w:hAnsi="Arial" w:cs="Arial"/>
          <w:bCs/>
          <w:color w:val="060606"/>
          <w:sz w:val="24"/>
          <w:szCs w:val="24"/>
          <w:lang w:eastAsia="tr-TR"/>
        </w:rPr>
        <w:t xml:space="preserve"> yazımızla çözümü bulduğumuzu zannediyoruz. </w:t>
      </w:r>
      <w:r w:rsidR="006B6979" w:rsidRPr="007B21AB">
        <w:rPr>
          <w:rFonts w:ascii="Arial" w:eastAsia="Times New Roman" w:hAnsi="Arial" w:cs="Arial"/>
          <w:bCs/>
          <w:color w:val="060606"/>
          <w:sz w:val="24"/>
          <w:szCs w:val="24"/>
          <w:lang w:eastAsia="tr-TR"/>
        </w:rPr>
        <w:br/>
      </w:r>
    </w:p>
    <w:p w:rsidR="006B6979" w:rsidRPr="007B21AB" w:rsidRDefault="006B6979">
      <w:pPr>
        <w:rPr>
          <w:rFonts w:ascii="Arial" w:hAnsi="Arial" w:cs="Arial"/>
          <w:sz w:val="24"/>
          <w:szCs w:val="24"/>
        </w:rPr>
      </w:pPr>
    </w:p>
    <w:p w:rsidR="006B6979" w:rsidRPr="007B21AB" w:rsidRDefault="006B6979">
      <w:pPr>
        <w:rPr>
          <w:rFonts w:ascii="Arial" w:hAnsi="Arial" w:cs="Arial"/>
          <w:sz w:val="24"/>
          <w:szCs w:val="24"/>
        </w:rPr>
      </w:pPr>
    </w:p>
    <w:p w:rsidR="006B6979" w:rsidRPr="007B21AB" w:rsidRDefault="006B6979">
      <w:pPr>
        <w:rPr>
          <w:rFonts w:ascii="Arial" w:hAnsi="Arial" w:cs="Arial"/>
          <w:sz w:val="24"/>
          <w:szCs w:val="24"/>
        </w:rPr>
      </w:pPr>
    </w:p>
    <w:p w:rsidR="00A9768E" w:rsidRPr="007B21AB" w:rsidRDefault="002E6AA9">
      <w:pPr>
        <w:rPr>
          <w:rFonts w:ascii="Arial" w:hAnsi="Arial" w:cs="Arial"/>
          <w:b/>
          <w:i/>
          <w:sz w:val="24"/>
          <w:szCs w:val="24"/>
          <w:u w:val="single"/>
        </w:rPr>
      </w:pPr>
      <w:r w:rsidRPr="007B21AB">
        <w:rPr>
          <w:rFonts w:ascii="Arial" w:hAnsi="Arial" w:cs="Arial"/>
          <w:b/>
          <w:i/>
          <w:sz w:val="24"/>
          <w:szCs w:val="24"/>
          <w:u w:val="single"/>
        </w:rPr>
        <w:t>ÇÖZÜM : Bir defalık yeniden değerleme veya enflasyon düzeltmesi yapılmalıdır</w:t>
      </w:r>
      <w:proofErr w:type="gramStart"/>
      <w:r w:rsidRPr="007B21AB">
        <w:rPr>
          <w:rFonts w:ascii="Arial" w:hAnsi="Arial" w:cs="Arial"/>
          <w:b/>
          <w:i/>
          <w:sz w:val="24"/>
          <w:szCs w:val="24"/>
          <w:u w:val="single"/>
        </w:rPr>
        <w:t>.</w:t>
      </w:r>
      <w:r w:rsidR="00A9768E" w:rsidRPr="007B21AB">
        <w:rPr>
          <w:rFonts w:ascii="Arial" w:hAnsi="Arial" w:cs="Arial"/>
          <w:b/>
          <w:i/>
          <w:sz w:val="24"/>
          <w:szCs w:val="24"/>
          <w:u w:val="single"/>
        </w:rPr>
        <w:t>.</w:t>
      </w:r>
      <w:proofErr w:type="gramEnd"/>
    </w:p>
    <w:p w:rsidR="00A9768E" w:rsidRPr="007B21AB" w:rsidRDefault="00A9768E">
      <w:pPr>
        <w:rPr>
          <w:rFonts w:ascii="Arial" w:hAnsi="Arial" w:cs="Arial"/>
          <w:sz w:val="24"/>
          <w:szCs w:val="24"/>
        </w:rPr>
      </w:pPr>
    </w:p>
    <w:p w:rsidR="002E6AA9" w:rsidRPr="007B21AB" w:rsidRDefault="002E6AA9">
      <w:pPr>
        <w:rPr>
          <w:rFonts w:ascii="Arial" w:hAnsi="Arial" w:cs="Arial"/>
          <w:sz w:val="24"/>
          <w:szCs w:val="24"/>
        </w:rPr>
      </w:pPr>
      <w:r w:rsidRPr="007B21AB">
        <w:rPr>
          <w:rFonts w:ascii="Arial" w:hAnsi="Arial" w:cs="Arial"/>
          <w:sz w:val="24"/>
          <w:szCs w:val="24"/>
        </w:rPr>
        <w:tab/>
        <w:t xml:space="preserve">Şu yeniden değerleme veya enflasyon düzeltmesinin son 10 yıllık durumunu da bir açıklayalım. </w:t>
      </w:r>
    </w:p>
    <w:p w:rsidR="00A9768E" w:rsidRPr="007B21AB" w:rsidRDefault="00A9768E" w:rsidP="00A9768E">
      <w:pPr>
        <w:spacing w:after="0" w:line="276" w:lineRule="auto"/>
        <w:ind w:firstLine="708"/>
        <w:jc w:val="both"/>
        <w:rPr>
          <w:rFonts w:ascii="Arial" w:eastAsia="Times New Roman" w:hAnsi="Arial" w:cs="Arial"/>
          <w:sz w:val="24"/>
          <w:szCs w:val="24"/>
          <w:lang w:eastAsia="tr-TR"/>
        </w:rPr>
      </w:pPr>
      <w:r w:rsidRPr="007B21AB">
        <w:rPr>
          <w:rFonts w:ascii="Arial" w:eastAsia="Times New Roman" w:hAnsi="Arial" w:cs="Arial"/>
          <w:sz w:val="24"/>
          <w:szCs w:val="24"/>
          <w:lang w:eastAsia="tr-TR"/>
        </w:rPr>
        <w:t xml:space="preserve">2013 yeniden değerleme oranı </w:t>
      </w:r>
      <w:proofErr w:type="spellStart"/>
      <w:r w:rsidRPr="007B21AB">
        <w:rPr>
          <w:rFonts w:ascii="Arial" w:eastAsia="Times New Roman" w:hAnsi="Arial" w:cs="Arial"/>
          <w:sz w:val="24"/>
          <w:szCs w:val="24"/>
          <w:lang w:eastAsia="tr-TR"/>
        </w:rPr>
        <w:t>tesbit</w:t>
      </w:r>
      <w:proofErr w:type="spellEnd"/>
      <w:r w:rsidRPr="007B21AB">
        <w:rPr>
          <w:rFonts w:ascii="Arial" w:eastAsia="Times New Roman" w:hAnsi="Arial" w:cs="Arial"/>
          <w:sz w:val="24"/>
          <w:szCs w:val="24"/>
          <w:lang w:eastAsia="tr-TR"/>
        </w:rPr>
        <w:t xml:space="preserve"> edildi ve yıllık %3,93 </w:t>
      </w:r>
      <w:r w:rsidR="00CD0C97" w:rsidRPr="007B21AB">
        <w:rPr>
          <w:rFonts w:ascii="Arial" w:eastAsia="Times New Roman" w:hAnsi="Arial" w:cs="Arial"/>
          <w:sz w:val="24"/>
          <w:szCs w:val="24"/>
          <w:lang w:eastAsia="tr-TR"/>
        </w:rPr>
        <w:t>olarak ilan edildi.</w:t>
      </w:r>
      <w:r w:rsidR="002A1F46" w:rsidRPr="007B21AB">
        <w:rPr>
          <w:rFonts w:ascii="Arial" w:eastAsia="Times New Roman" w:hAnsi="Arial" w:cs="Arial"/>
          <w:sz w:val="24"/>
          <w:szCs w:val="24"/>
          <w:lang w:eastAsia="tr-TR"/>
        </w:rPr>
        <w:t xml:space="preserve"> 2014 YILINDA 9 aylık yeniden değerleme oranı ise %8,59 olarak ilan edildi. </w:t>
      </w:r>
      <w:r w:rsidR="00CD0C97" w:rsidRPr="007B21AB">
        <w:rPr>
          <w:rFonts w:ascii="Arial" w:eastAsia="Times New Roman" w:hAnsi="Arial" w:cs="Arial"/>
          <w:sz w:val="24"/>
          <w:szCs w:val="24"/>
          <w:lang w:eastAsia="tr-TR"/>
        </w:rPr>
        <w:t xml:space="preserve"> Yeniden değerlemeye bağlı olarak bazı</w:t>
      </w:r>
      <w:r w:rsidRPr="007B21AB">
        <w:rPr>
          <w:rFonts w:ascii="Arial" w:eastAsia="Times New Roman" w:hAnsi="Arial" w:cs="Arial"/>
          <w:sz w:val="24"/>
          <w:szCs w:val="24"/>
          <w:lang w:eastAsia="tr-TR"/>
        </w:rPr>
        <w:t xml:space="preserve"> haberler çıkmaya başladı. Gelecek 201</w:t>
      </w:r>
      <w:r w:rsidR="002A1F46" w:rsidRPr="007B21AB">
        <w:rPr>
          <w:rFonts w:ascii="Arial" w:eastAsia="Times New Roman" w:hAnsi="Arial" w:cs="Arial"/>
          <w:sz w:val="24"/>
          <w:szCs w:val="24"/>
          <w:lang w:eastAsia="tr-TR"/>
        </w:rPr>
        <w:t>5</w:t>
      </w:r>
      <w:r w:rsidRPr="007B21AB">
        <w:rPr>
          <w:rFonts w:ascii="Arial" w:eastAsia="Times New Roman" w:hAnsi="Arial" w:cs="Arial"/>
          <w:sz w:val="24"/>
          <w:szCs w:val="24"/>
          <w:lang w:eastAsia="tr-TR"/>
        </w:rPr>
        <w:t xml:space="preserve"> yılının </w:t>
      </w:r>
      <w:r w:rsidR="00CD0C97" w:rsidRPr="007B21AB">
        <w:rPr>
          <w:rFonts w:ascii="Arial" w:eastAsia="Times New Roman" w:hAnsi="Arial" w:cs="Arial"/>
          <w:sz w:val="24"/>
          <w:szCs w:val="24"/>
          <w:lang w:eastAsia="tr-TR"/>
        </w:rPr>
        <w:t>ve</w:t>
      </w:r>
      <w:r w:rsidRPr="007B21AB">
        <w:rPr>
          <w:rFonts w:ascii="Arial" w:eastAsia="Times New Roman" w:hAnsi="Arial" w:cs="Arial"/>
          <w:sz w:val="24"/>
          <w:szCs w:val="24"/>
          <w:lang w:eastAsia="tr-TR"/>
        </w:rPr>
        <w:t>rgilerinin ve emlak vergileri, vergi cezaları gibi bazı konularda da hemen çalış</w:t>
      </w:r>
      <w:r w:rsidR="00CD0C97" w:rsidRPr="007B21AB">
        <w:rPr>
          <w:rFonts w:ascii="Arial" w:eastAsia="Times New Roman" w:hAnsi="Arial" w:cs="Arial"/>
          <w:sz w:val="24"/>
          <w:szCs w:val="24"/>
          <w:lang w:eastAsia="tr-TR"/>
        </w:rPr>
        <w:t xml:space="preserve">malar başladı. Birçok meslektaş, yeniden değerleme oranını ele alarak yazılar </w:t>
      </w:r>
      <w:r w:rsidRPr="007B21AB">
        <w:rPr>
          <w:rFonts w:ascii="Arial" w:eastAsia="Times New Roman" w:hAnsi="Arial" w:cs="Arial"/>
          <w:sz w:val="24"/>
          <w:szCs w:val="24"/>
          <w:lang w:eastAsia="tr-TR"/>
        </w:rPr>
        <w:t xml:space="preserve">yazmaya başladı. </w:t>
      </w:r>
    </w:p>
    <w:p w:rsidR="00A9768E" w:rsidRPr="007B21AB" w:rsidRDefault="00A9768E" w:rsidP="00A9768E">
      <w:pPr>
        <w:spacing w:after="0" w:line="276" w:lineRule="auto"/>
        <w:ind w:firstLine="708"/>
        <w:jc w:val="both"/>
        <w:rPr>
          <w:rFonts w:ascii="Arial" w:eastAsia="Times New Roman" w:hAnsi="Arial" w:cs="Arial"/>
          <w:sz w:val="24"/>
          <w:szCs w:val="24"/>
          <w:lang w:eastAsia="tr-TR"/>
        </w:rPr>
      </w:pPr>
      <w:r w:rsidRPr="007B21AB">
        <w:rPr>
          <w:rFonts w:ascii="Arial" w:eastAsia="Times New Roman" w:hAnsi="Arial" w:cs="Arial"/>
          <w:sz w:val="24"/>
          <w:szCs w:val="24"/>
          <w:lang w:eastAsia="tr-TR"/>
        </w:rPr>
        <w:t xml:space="preserve">Ben de bir araştırma yapayım, yeniden değerleme ve enflasyon düzeltmesi konusunu, enflasyonsuz dönemi bir inceleyeyim dedim. Ama şaşırtıcı bazı sonuçlara ulaştığım kanaatine vardım. Vardığım sonuçları gerek meslektaşlarım ve gerekse siz değerli okurlarla paylaşayım da belki devlet yetkililerinin de dikkati çekilmiş olur diye düşündüm. </w:t>
      </w:r>
    </w:p>
    <w:p w:rsidR="00A9768E" w:rsidRPr="007B21AB" w:rsidRDefault="00A9768E" w:rsidP="00A9768E">
      <w:pPr>
        <w:spacing w:after="0" w:line="276" w:lineRule="auto"/>
        <w:ind w:firstLine="708"/>
        <w:jc w:val="both"/>
        <w:rPr>
          <w:rFonts w:ascii="Arial" w:eastAsia="Times New Roman" w:hAnsi="Arial" w:cs="Arial"/>
          <w:sz w:val="24"/>
          <w:szCs w:val="24"/>
          <w:lang w:eastAsia="tr-TR"/>
        </w:rPr>
      </w:pPr>
      <w:r w:rsidRPr="007B21AB">
        <w:rPr>
          <w:rFonts w:ascii="Arial" w:eastAsia="Times New Roman" w:hAnsi="Arial" w:cs="Arial"/>
          <w:sz w:val="24"/>
          <w:szCs w:val="24"/>
          <w:lang w:eastAsia="tr-TR"/>
        </w:rPr>
        <w:t xml:space="preserve">Enflasyon düzeltmesi ve yeniden değerleme konusunu ele aldığımızda, ülkemizin yıllarca ağır bir enflasyon yaşadığını, bununla başa çıkabilmek için yeniden değerleme müessesesinin kurulduğunu, daha sonra özellikle 2003 den sonra enflasyonla ciddi bir mücadeleye karar verildiği zaman bir defalık olmak üzere yine çok ciddi bir enflasyon düzeltmesi ile bilançoların düzeltildiğini görüyoruz. </w:t>
      </w:r>
    </w:p>
    <w:p w:rsidR="00A9768E" w:rsidRPr="007B21AB" w:rsidRDefault="00A9768E" w:rsidP="00A9768E">
      <w:pPr>
        <w:spacing w:after="0" w:line="276" w:lineRule="auto"/>
        <w:ind w:firstLine="708"/>
        <w:jc w:val="both"/>
        <w:rPr>
          <w:rFonts w:ascii="Arial" w:eastAsia="Times New Roman" w:hAnsi="Arial" w:cs="Arial"/>
          <w:sz w:val="24"/>
          <w:szCs w:val="24"/>
          <w:lang w:eastAsia="tr-TR"/>
        </w:rPr>
      </w:pPr>
      <w:r w:rsidRPr="007B21AB">
        <w:rPr>
          <w:rFonts w:ascii="Arial" w:eastAsia="Times New Roman" w:hAnsi="Arial" w:cs="Arial"/>
          <w:sz w:val="24"/>
          <w:szCs w:val="24"/>
          <w:lang w:eastAsia="tr-TR"/>
        </w:rPr>
        <w:t xml:space="preserve">Enflasyon düzeltmesi ve yeniden değerlemeyi vergi usul kanununun </w:t>
      </w:r>
      <w:proofErr w:type="spellStart"/>
      <w:r w:rsidRPr="007B21AB">
        <w:rPr>
          <w:rFonts w:ascii="Arial" w:eastAsia="Times New Roman" w:hAnsi="Arial" w:cs="Arial"/>
          <w:sz w:val="24"/>
          <w:szCs w:val="24"/>
          <w:lang w:eastAsia="tr-TR"/>
        </w:rPr>
        <w:t>mükerrrer</w:t>
      </w:r>
      <w:proofErr w:type="spellEnd"/>
      <w:r w:rsidRPr="007B21AB">
        <w:rPr>
          <w:rFonts w:ascii="Arial" w:eastAsia="Times New Roman" w:hAnsi="Arial" w:cs="Arial"/>
          <w:sz w:val="24"/>
          <w:szCs w:val="24"/>
          <w:lang w:eastAsia="tr-TR"/>
        </w:rPr>
        <w:t xml:space="preserve"> 298 inci maddesi </w:t>
      </w:r>
      <w:r w:rsidR="007C001B" w:rsidRPr="007B21AB">
        <w:rPr>
          <w:rFonts w:ascii="Arial" w:eastAsia="Times New Roman" w:hAnsi="Arial" w:cs="Arial"/>
          <w:sz w:val="24"/>
          <w:szCs w:val="24"/>
          <w:lang w:eastAsia="tr-TR"/>
        </w:rPr>
        <w:t>ele almıştır.</w:t>
      </w:r>
      <w:r w:rsidRPr="007B21AB">
        <w:rPr>
          <w:rFonts w:ascii="Arial" w:eastAsia="Times New Roman" w:hAnsi="Arial" w:cs="Arial"/>
          <w:sz w:val="24"/>
          <w:szCs w:val="24"/>
          <w:lang w:eastAsia="tr-TR"/>
        </w:rPr>
        <w:t xml:space="preserve"> </w:t>
      </w:r>
    </w:p>
    <w:p w:rsidR="00A9768E" w:rsidRPr="007B21AB" w:rsidRDefault="00A9768E" w:rsidP="00A9768E">
      <w:pPr>
        <w:rPr>
          <w:rFonts w:ascii="Arial" w:hAnsi="Arial" w:cs="Arial"/>
          <w:sz w:val="24"/>
          <w:szCs w:val="24"/>
        </w:rPr>
      </w:pPr>
    </w:p>
    <w:p w:rsidR="00A9768E" w:rsidRPr="007B21AB" w:rsidRDefault="00A9768E" w:rsidP="00A9768E">
      <w:pPr>
        <w:rPr>
          <w:rFonts w:ascii="Arial" w:hAnsi="Arial" w:cs="Arial"/>
          <w:sz w:val="24"/>
          <w:szCs w:val="24"/>
        </w:rPr>
      </w:pPr>
      <w:r w:rsidRPr="007B21AB">
        <w:rPr>
          <w:rFonts w:ascii="Arial" w:hAnsi="Arial" w:cs="Arial"/>
          <w:sz w:val="24"/>
          <w:szCs w:val="24"/>
        </w:rPr>
        <w:t>M</w:t>
      </w:r>
      <w:r w:rsidR="00925FF1" w:rsidRPr="007B21AB">
        <w:rPr>
          <w:rFonts w:ascii="Arial" w:hAnsi="Arial" w:cs="Arial"/>
          <w:sz w:val="24"/>
          <w:szCs w:val="24"/>
        </w:rPr>
        <w:t>ü</w:t>
      </w:r>
      <w:r w:rsidRPr="007B21AB">
        <w:rPr>
          <w:rFonts w:ascii="Arial" w:hAnsi="Arial" w:cs="Arial"/>
          <w:sz w:val="24"/>
          <w:szCs w:val="24"/>
        </w:rPr>
        <w:t xml:space="preserve">kerrer Madde 298 in ilgili kısmı aşağıdaki gibidir.  </w:t>
      </w:r>
    </w:p>
    <w:p w:rsidR="00A9768E" w:rsidRPr="007B21AB" w:rsidRDefault="00A9768E" w:rsidP="00A9768E">
      <w:pPr>
        <w:rPr>
          <w:rFonts w:ascii="Arial" w:hAnsi="Arial" w:cs="Arial"/>
          <w:sz w:val="24"/>
          <w:szCs w:val="24"/>
        </w:rPr>
      </w:pPr>
      <w:r w:rsidRPr="007B21AB">
        <w:rPr>
          <w:rFonts w:ascii="Arial" w:hAnsi="Arial" w:cs="Arial"/>
          <w:sz w:val="24"/>
          <w:szCs w:val="24"/>
        </w:rPr>
        <w:t xml:space="preserve">Kapsam  </w:t>
      </w:r>
    </w:p>
    <w:p w:rsidR="00A9768E" w:rsidRPr="007B21AB" w:rsidRDefault="00A9768E" w:rsidP="00A9768E">
      <w:pPr>
        <w:rPr>
          <w:rFonts w:ascii="Arial" w:hAnsi="Arial" w:cs="Arial"/>
          <w:sz w:val="24"/>
          <w:szCs w:val="24"/>
        </w:rPr>
      </w:pPr>
      <w:r w:rsidRPr="007B21AB">
        <w:rPr>
          <w:rFonts w:ascii="Arial" w:hAnsi="Arial" w:cs="Arial"/>
          <w:sz w:val="24"/>
          <w:szCs w:val="24"/>
        </w:rPr>
        <w:lastRenderedPageBreak/>
        <w:t>(5024 Sayılı Kanunun 2'inci maddesiyle değişen Madde: Yürürlük;01.01.2004)A</w:t>
      </w:r>
      <w:proofErr w:type="gramStart"/>
      <w:r w:rsidRPr="007B21AB">
        <w:rPr>
          <w:rFonts w:ascii="Arial" w:hAnsi="Arial" w:cs="Arial"/>
          <w:sz w:val="24"/>
          <w:szCs w:val="24"/>
        </w:rPr>
        <w:t>)</w:t>
      </w:r>
      <w:proofErr w:type="gramEnd"/>
      <w:r w:rsidRPr="007B21AB">
        <w:rPr>
          <w:rFonts w:ascii="Arial" w:hAnsi="Arial" w:cs="Arial"/>
          <w:sz w:val="24"/>
          <w:szCs w:val="24"/>
        </w:rPr>
        <w:t xml:space="preserve"> Malî tablolarda yer alan parasal olmayan kıymetler aşağıdaki hükümlere göre enflasyon düzeltmesine tâbi tutulur. </w:t>
      </w:r>
    </w:p>
    <w:p w:rsidR="00A9768E" w:rsidRPr="007B21AB" w:rsidRDefault="00A9768E" w:rsidP="00A9768E">
      <w:pPr>
        <w:rPr>
          <w:rFonts w:ascii="Arial" w:hAnsi="Arial" w:cs="Arial"/>
          <w:sz w:val="24"/>
          <w:szCs w:val="24"/>
        </w:rPr>
      </w:pPr>
      <w:r w:rsidRPr="007B21AB">
        <w:rPr>
          <w:rFonts w:ascii="Arial" w:hAnsi="Arial" w:cs="Arial"/>
          <w:sz w:val="24"/>
          <w:szCs w:val="24"/>
        </w:rPr>
        <w:t xml:space="preserve">1. Kazançlarını bilanço esasına göre tespit eden gelir ve kurumlar vergisi mükellefleri fiyat endeksindeki artışın, içinde bulunulan dönem </w:t>
      </w:r>
      <w:proofErr w:type="gramStart"/>
      <w:r w:rsidRPr="007B21AB">
        <w:rPr>
          <w:rFonts w:ascii="Arial" w:hAnsi="Arial" w:cs="Arial"/>
          <w:sz w:val="24"/>
          <w:szCs w:val="24"/>
        </w:rPr>
        <w:t>dahil</w:t>
      </w:r>
      <w:proofErr w:type="gramEnd"/>
      <w:r w:rsidRPr="007B21AB">
        <w:rPr>
          <w:rFonts w:ascii="Arial" w:hAnsi="Arial" w:cs="Arial"/>
          <w:sz w:val="24"/>
          <w:szCs w:val="24"/>
        </w:rPr>
        <w:t xml:space="preserve"> son üç hesap döneminde %100'den ve içinde bulunulan hesap döneminde % 10'dan fazla olması halinde malî tablolarını enflasyon düzeltmesine tâbi tutarlar. Enflasyon düzeltmesi uygulaması, her iki şartın birlikte gerçekleşmemesi halinde sona erer. </w:t>
      </w:r>
    </w:p>
    <w:p w:rsidR="00A9768E" w:rsidRPr="007B21AB" w:rsidRDefault="00A9768E" w:rsidP="00A9768E">
      <w:pPr>
        <w:rPr>
          <w:rFonts w:ascii="Arial" w:hAnsi="Arial" w:cs="Arial"/>
          <w:sz w:val="24"/>
          <w:szCs w:val="24"/>
        </w:rPr>
      </w:pPr>
    </w:p>
    <w:p w:rsidR="00A9768E" w:rsidRPr="007B21AB" w:rsidRDefault="00A9768E" w:rsidP="00A9768E">
      <w:pPr>
        <w:rPr>
          <w:rFonts w:ascii="Arial" w:hAnsi="Arial" w:cs="Arial"/>
          <w:sz w:val="24"/>
          <w:szCs w:val="24"/>
        </w:rPr>
      </w:pPr>
      <w:r w:rsidRPr="007B21AB">
        <w:rPr>
          <w:rFonts w:ascii="Arial" w:hAnsi="Arial" w:cs="Arial"/>
          <w:sz w:val="24"/>
          <w:szCs w:val="24"/>
        </w:rPr>
        <w:t xml:space="preserve">Kapsama giren mükellefler, geçici vergi dönemlerinin sonu itibarıyla malî tabloları düzenlemek ve enflasyon düzeltmesi yapmak zorundadırlar. Geçici vergi dönemlerinde yukarıda belirtilen oranların tespitinde, son üç hesap dönemi yerine üçer aylık dönemlerin son ayı </w:t>
      </w:r>
      <w:proofErr w:type="gramStart"/>
      <w:r w:rsidRPr="007B21AB">
        <w:rPr>
          <w:rFonts w:ascii="Arial" w:hAnsi="Arial" w:cs="Arial"/>
          <w:sz w:val="24"/>
          <w:szCs w:val="24"/>
        </w:rPr>
        <w:t>dahil</w:t>
      </w:r>
      <w:proofErr w:type="gramEnd"/>
      <w:r w:rsidRPr="007B21AB">
        <w:rPr>
          <w:rFonts w:ascii="Arial" w:hAnsi="Arial" w:cs="Arial"/>
          <w:sz w:val="24"/>
          <w:szCs w:val="24"/>
        </w:rPr>
        <w:t xml:space="preserve"> önceki </w:t>
      </w:r>
      <w:proofErr w:type="spellStart"/>
      <w:r w:rsidRPr="007B21AB">
        <w:rPr>
          <w:rFonts w:ascii="Arial" w:hAnsi="Arial" w:cs="Arial"/>
          <w:sz w:val="24"/>
          <w:szCs w:val="24"/>
        </w:rPr>
        <w:t>otuzaltı</w:t>
      </w:r>
      <w:proofErr w:type="spellEnd"/>
      <w:r w:rsidRPr="007B21AB">
        <w:rPr>
          <w:rFonts w:ascii="Arial" w:hAnsi="Arial" w:cs="Arial"/>
          <w:sz w:val="24"/>
          <w:szCs w:val="24"/>
        </w:rPr>
        <w:t xml:space="preserve"> ay ve içinde bulunulan hesap dönemi yerine son </w:t>
      </w:r>
      <w:proofErr w:type="spellStart"/>
      <w:r w:rsidRPr="007B21AB">
        <w:rPr>
          <w:rFonts w:ascii="Arial" w:hAnsi="Arial" w:cs="Arial"/>
          <w:sz w:val="24"/>
          <w:szCs w:val="24"/>
        </w:rPr>
        <w:t>oniki</w:t>
      </w:r>
      <w:proofErr w:type="spellEnd"/>
      <w:r w:rsidRPr="007B21AB">
        <w:rPr>
          <w:rFonts w:ascii="Arial" w:hAnsi="Arial" w:cs="Arial"/>
          <w:sz w:val="24"/>
          <w:szCs w:val="24"/>
        </w:rPr>
        <w:t xml:space="preserve"> ay dikkate alınır. Bir hesap dönemi içindeki geçici vergi dönemlerinin herhangi birinde düzeltme yapılması halinde takip eden geçici vergi dönemlerinde ve içinde bulunulan hesap dönemi sonunda da düzeltme yapılır. </w:t>
      </w:r>
    </w:p>
    <w:p w:rsidR="00A9768E" w:rsidRPr="007B21AB" w:rsidRDefault="00A9768E" w:rsidP="00A9768E">
      <w:pPr>
        <w:rPr>
          <w:rFonts w:ascii="Arial" w:hAnsi="Arial" w:cs="Arial"/>
          <w:sz w:val="24"/>
          <w:szCs w:val="24"/>
        </w:rPr>
      </w:pPr>
    </w:p>
    <w:p w:rsidR="00A9768E" w:rsidRPr="007B21AB" w:rsidRDefault="00A9768E" w:rsidP="00A9768E">
      <w:pPr>
        <w:rPr>
          <w:rFonts w:ascii="Arial" w:hAnsi="Arial" w:cs="Arial"/>
          <w:sz w:val="24"/>
          <w:szCs w:val="24"/>
        </w:rPr>
      </w:pPr>
      <w:r w:rsidRPr="007B21AB">
        <w:rPr>
          <w:rFonts w:ascii="Arial" w:hAnsi="Arial" w:cs="Arial"/>
          <w:sz w:val="24"/>
          <w:szCs w:val="24"/>
        </w:rPr>
        <w:t xml:space="preserve">Bakanlar Kurulu; bu maddede yer alan % 100 oranını % 35'e kadar indirmeye veya tekrar kanunî seviyesine kadar yükseltmeye, % 10 oranını ise % 25'e kadar çıkarmaya veya tekrar kanunî seviyesine kadar indirmeye yetkilidir. </w:t>
      </w:r>
    </w:p>
    <w:p w:rsidR="00BC1471" w:rsidRPr="007B21AB" w:rsidRDefault="00BC1471" w:rsidP="00A9768E">
      <w:pPr>
        <w:rPr>
          <w:rFonts w:ascii="Arial" w:hAnsi="Arial" w:cs="Arial"/>
          <w:sz w:val="24"/>
          <w:szCs w:val="24"/>
        </w:rPr>
      </w:pPr>
      <w:proofErr w:type="gramStart"/>
      <w:r w:rsidRPr="007B21AB">
        <w:rPr>
          <w:rFonts w:ascii="Arial" w:hAnsi="Arial" w:cs="Arial"/>
          <w:sz w:val="24"/>
          <w:szCs w:val="24"/>
        </w:rPr>
        <w:t>…………</w:t>
      </w:r>
      <w:proofErr w:type="gramEnd"/>
    </w:p>
    <w:p w:rsidR="00BC1471" w:rsidRPr="007B21AB" w:rsidRDefault="00BC1471" w:rsidP="00A9768E">
      <w:pPr>
        <w:rPr>
          <w:rFonts w:ascii="Arial" w:hAnsi="Arial" w:cs="Arial"/>
          <w:sz w:val="24"/>
          <w:szCs w:val="24"/>
        </w:rPr>
      </w:pPr>
      <w:proofErr w:type="gramStart"/>
      <w:r w:rsidRPr="007B21AB">
        <w:rPr>
          <w:rFonts w:ascii="Arial" w:hAnsi="Arial" w:cs="Arial"/>
          <w:sz w:val="24"/>
          <w:szCs w:val="24"/>
        </w:rPr>
        <w:t>………..</w:t>
      </w:r>
      <w:proofErr w:type="gramEnd"/>
    </w:p>
    <w:p w:rsidR="00BC1471" w:rsidRPr="007B21AB" w:rsidRDefault="00BC1471" w:rsidP="00BC1471">
      <w:pPr>
        <w:rPr>
          <w:rFonts w:ascii="Arial" w:hAnsi="Arial" w:cs="Arial"/>
          <w:sz w:val="24"/>
          <w:szCs w:val="24"/>
        </w:rPr>
      </w:pPr>
      <w:r w:rsidRPr="007B21AB">
        <w:rPr>
          <w:rFonts w:ascii="Arial" w:hAnsi="Arial" w:cs="Arial"/>
          <w:sz w:val="24"/>
          <w:szCs w:val="24"/>
        </w:rPr>
        <w:t xml:space="preserve">B) Yeniden değerleme oranı, yeniden değerleme yapılacak yılın Ekim ayında (Ekim ayı </w:t>
      </w:r>
      <w:proofErr w:type="gramStart"/>
      <w:r w:rsidRPr="007B21AB">
        <w:rPr>
          <w:rFonts w:ascii="Arial" w:hAnsi="Arial" w:cs="Arial"/>
          <w:sz w:val="24"/>
          <w:szCs w:val="24"/>
        </w:rPr>
        <w:t>dahil</w:t>
      </w:r>
      <w:proofErr w:type="gramEnd"/>
      <w:r w:rsidRPr="007B21AB">
        <w:rPr>
          <w:rFonts w:ascii="Arial" w:hAnsi="Arial" w:cs="Arial"/>
          <w:sz w:val="24"/>
          <w:szCs w:val="24"/>
        </w:rPr>
        <w:t>) bir önceki yılın aynı dönemine göre Devlet İstatistik Enstitüsünün Toptan Eşya Fiyatları Genel Endeksinde meydana gelen ortalama fiyat artış oranıdır. Bu oran Maliye Bakanlığınca Resmî Gazete ile ilân edilir.</w:t>
      </w:r>
    </w:p>
    <w:p w:rsidR="00BC1471" w:rsidRPr="007B21AB" w:rsidRDefault="00BC1471" w:rsidP="00BC1471">
      <w:pPr>
        <w:rPr>
          <w:rFonts w:ascii="Arial" w:hAnsi="Arial" w:cs="Arial"/>
          <w:sz w:val="24"/>
          <w:szCs w:val="24"/>
        </w:rPr>
      </w:pPr>
      <w:r w:rsidRPr="007B21AB">
        <w:rPr>
          <w:rFonts w:ascii="Arial" w:hAnsi="Arial" w:cs="Arial"/>
          <w:sz w:val="24"/>
          <w:szCs w:val="24"/>
        </w:rPr>
        <w:tab/>
        <w:t xml:space="preserve">Maddenin ilgili kısımlarını yukarıya aldım. Bu kısımların incelenmesinden görüleceği üzere enflasyon düzeltmesi yapılabilmesi için belirli şartlar bulunmaktadır. </w:t>
      </w:r>
    </w:p>
    <w:p w:rsidR="00BC1471" w:rsidRPr="007B21AB" w:rsidRDefault="00BC1471" w:rsidP="00BC1471">
      <w:pPr>
        <w:ind w:firstLine="708"/>
        <w:rPr>
          <w:rFonts w:ascii="Arial" w:hAnsi="Arial" w:cs="Arial"/>
          <w:sz w:val="24"/>
          <w:szCs w:val="24"/>
        </w:rPr>
      </w:pPr>
      <w:r w:rsidRPr="007B21AB">
        <w:rPr>
          <w:rFonts w:ascii="Arial" w:hAnsi="Arial" w:cs="Arial"/>
          <w:b/>
          <w:sz w:val="24"/>
          <w:szCs w:val="24"/>
        </w:rPr>
        <w:t>Son üç yıllık enflasyon toplamının %100 ü aşması ve yıllık %10 enflasyon olması ve bu iki şartın birlikte gerçekleşmesi</w:t>
      </w:r>
      <w:r w:rsidRPr="007B21AB">
        <w:rPr>
          <w:rFonts w:ascii="Arial" w:hAnsi="Arial" w:cs="Arial"/>
          <w:sz w:val="24"/>
          <w:szCs w:val="24"/>
        </w:rPr>
        <w:t>.</w:t>
      </w:r>
    </w:p>
    <w:p w:rsidR="00BC1471" w:rsidRPr="007B21AB" w:rsidRDefault="00BC1471" w:rsidP="00A9768E">
      <w:pPr>
        <w:rPr>
          <w:rFonts w:ascii="Arial" w:hAnsi="Arial" w:cs="Arial"/>
          <w:sz w:val="24"/>
          <w:szCs w:val="24"/>
        </w:rPr>
      </w:pPr>
      <w:r w:rsidRPr="007B21AB">
        <w:rPr>
          <w:rFonts w:ascii="Arial" w:hAnsi="Arial" w:cs="Arial"/>
          <w:sz w:val="24"/>
          <w:szCs w:val="24"/>
        </w:rPr>
        <w:tab/>
        <w:t xml:space="preserve">Ayrıca yeniden değerleme oranı da her yıl </w:t>
      </w:r>
      <w:proofErr w:type="spellStart"/>
      <w:r w:rsidRPr="007B21AB">
        <w:rPr>
          <w:rFonts w:ascii="Arial" w:hAnsi="Arial" w:cs="Arial"/>
          <w:sz w:val="24"/>
          <w:szCs w:val="24"/>
        </w:rPr>
        <w:t>tesbit</w:t>
      </w:r>
      <w:proofErr w:type="spellEnd"/>
      <w:r w:rsidRPr="007B21AB">
        <w:rPr>
          <w:rFonts w:ascii="Arial" w:hAnsi="Arial" w:cs="Arial"/>
          <w:sz w:val="24"/>
          <w:szCs w:val="24"/>
        </w:rPr>
        <w:t xml:space="preserve"> edilip yayımlanacaktır. </w:t>
      </w:r>
    </w:p>
    <w:p w:rsidR="00BC1471" w:rsidRPr="007B21AB" w:rsidRDefault="00BC1471" w:rsidP="00A9768E">
      <w:pPr>
        <w:rPr>
          <w:rFonts w:ascii="Arial" w:hAnsi="Arial" w:cs="Arial"/>
          <w:sz w:val="24"/>
          <w:szCs w:val="24"/>
        </w:rPr>
      </w:pPr>
      <w:r w:rsidRPr="007B21AB">
        <w:rPr>
          <w:rFonts w:ascii="Arial" w:hAnsi="Arial" w:cs="Arial"/>
          <w:sz w:val="24"/>
          <w:szCs w:val="24"/>
        </w:rPr>
        <w:tab/>
        <w:t xml:space="preserve">Son enflasyon düzeltmesi sırasında ve düzeltme yapıldıktan sonra Yıllar itibariyle yeniden değerleme oranı ne olmuştur? Aşağıdaki tabloda bunu görelim. </w:t>
      </w:r>
    </w:p>
    <w:p w:rsidR="002E6AA9" w:rsidRPr="007B21AB" w:rsidRDefault="002E6AA9">
      <w:pPr>
        <w:rPr>
          <w:rFonts w:ascii="Arial" w:hAnsi="Arial" w:cs="Arial"/>
          <w:sz w:val="24"/>
          <w:szCs w:val="24"/>
        </w:rPr>
      </w:pPr>
    </w:p>
    <w:tbl>
      <w:tblPr>
        <w:tblW w:w="8520" w:type="dxa"/>
        <w:jc w:val="center"/>
        <w:tblCellMar>
          <w:top w:w="15" w:type="dxa"/>
          <w:left w:w="15" w:type="dxa"/>
          <w:bottom w:w="15" w:type="dxa"/>
          <w:right w:w="15" w:type="dxa"/>
        </w:tblCellMar>
        <w:tblLook w:val="04A0" w:firstRow="1" w:lastRow="0" w:firstColumn="1" w:lastColumn="0" w:noHBand="0" w:noVBand="1"/>
      </w:tblPr>
      <w:tblGrid>
        <w:gridCol w:w="6698"/>
        <w:gridCol w:w="1822"/>
      </w:tblGrid>
      <w:tr w:rsidR="002E6AA9" w:rsidRPr="007B21AB"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tcPr>
          <w:p w:rsidR="002E6AA9" w:rsidRPr="007B21AB" w:rsidRDefault="002E6AA9" w:rsidP="0036526B">
            <w:pPr>
              <w:spacing w:after="0" w:line="240" w:lineRule="auto"/>
              <w:rPr>
                <w:rFonts w:ascii="Arial" w:eastAsia="Times New Roman" w:hAnsi="Arial" w:cs="Arial"/>
                <w:sz w:val="24"/>
                <w:szCs w:val="24"/>
                <w:lang w:eastAsia="tr-TR"/>
              </w:rPr>
            </w:pPr>
            <w:r w:rsidRPr="007B21AB">
              <w:rPr>
                <w:rFonts w:ascii="Arial" w:eastAsia="Times New Roman" w:hAnsi="Arial" w:cs="Arial"/>
                <w:sz w:val="24"/>
                <w:szCs w:val="24"/>
                <w:lang w:eastAsia="tr-TR"/>
              </w:rPr>
              <w:t xml:space="preserve">2014 Eylül sonu yeniden değerleme oranı </w:t>
            </w:r>
          </w:p>
        </w:tc>
        <w:tc>
          <w:tcPr>
            <w:tcW w:w="1822" w:type="dxa"/>
            <w:tcBorders>
              <w:top w:val="single" w:sz="6" w:space="0" w:color="FFCC00"/>
              <w:left w:val="single" w:sz="6" w:space="0" w:color="FFCC00"/>
              <w:bottom w:val="single" w:sz="6" w:space="0" w:color="FFCC00"/>
              <w:right w:val="single" w:sz="6" w:space="0" w:color="FFCC00"/>
            </w:tcBorders>
            <w:vAlign w:val="center"/>
          </w:tcPr>
          <w:p w:rsidR="002E6AA9" w:rsidRPr="007B21AB" w:rsidRDefault="002E6AA9" w:rsidP="00580DCC">
            <w:pPr>
              <w:spacing w:before="100" w:beforeAutospacing="1" w:after="100" w:afterAutospacing="1"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%8,59</w:t>
            </w:r>
          </w:p>
        </w:tc>
      </w:tr>
      <w:tr w:rsidR="00BC1471" w:rsidRPr="007B21AB"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tcPr>
          <w:p w:rsidR="00BC1471" w:rsidRPr="007B21AB" w:rsidRDefault="00BC1471" w:rsidP="0036526B">
            <w:pPr>
              <w:spacing w:after="0" w:line="240" w:lineRule="auto"/>
              <w:rPr>
                <w:rFonts w:ascii="Arial" w:eastAsia="Times New Roman" w:hAnsi="Arial" w:cs="Arial"/>
                <w:sz w:val="24"/>
                <w:szCs w:val="24"/>
                <w:lang w:eastAsia="tr-TR"/>
              </w:rPr>
            </w:pPr>
            <w:r w:rsidRPr="007B21AB">
              <w:rPr>
                <w:rFonts w:ascii="Arial" w:eastAsia="Times New Roman" w:hAnsi="Arial" w:cs="Arial"/>
                <w:sz w:val="24"/>
                <w:szCs w:val="24"/>
                <w:lang w:eastAsia="tr-TR"/>
              </w:rPr>
              <w:t xml:space="preserve">2013 yılı yeniden değerleme oranı </w:t>
            </w:r>
          </w:p>
        </w:tc>
        <w:tc>
          <w:tcPr>
            <w:tcW w:w="1822" w:type="dxa"/>
            <w:tcBorders>
              <w:top w:val="single" w:sz="6" w:space="0" w:color="FFCC00"/>
              <w:left w:val="single" w:sz="6" w:space="0" w:color="FFCC00"/>
              <w:bottom w:val="single" w:sz="6" w:space="0" w:color="FFCC00"/>
              <w:right w:val="single" w:sz="6" w:space="0" w:color="FFCC00"/>
            </w:tcBorders>
            <w:vAlign w:val="center"/>
          </w:tcPr>
          <w:p w:rsidR="00BC1471" w:rsidRPr="007B21AB" w:rsidRDefault="00BC1471" w:rsidP="00580DCC">
            <w:pPr>
              <w:spacing w:before="100" w:beforeAutospacing="1" w:after="100" w:afterAutospacing="1"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%3,93</w:t>
            </w:r>
          </w:p>
        </w:tc>
      </w:tr>
      <w:tr w:rsidR="0036526B" w:rsidRPr="007B21AB"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36526B">
            <w:pPr>
              <w:spacing w:after="0" w:line="240" w:lineRule="auto"/>
              <w:rPr>
                <w:rFonts w:ascii="Arial" w:eastAsia="Times New Roman" w:hAnsi="Arial" w:cs="Arial"/>
                <w:sz w:val="24"/>
                <w:szCs w:val="24"/>
                <w:lang w:eastAsia="tr-TR"/>
              </w:rPr>
            </w:pPr>
            <w:r w:rsidRPr="007B21AB">
              <w:rPr>
                <w:rFonts w:ascii="Arial" w:eastAsia="Times New Roman" w:hAnsi="Arial" w:cs="Arial"/>
                <w:sz w:val="24"/>
                <w:szCs w:val="24"/>
                <w:lang w:eastAsia="tr-TR"/>
              </w:rPr>
              <w:t>2012 yılı yeniden değerleme oranı (</w:t>
            </w:r>
            <w:hyperlink r:id="rId6" w:history="1">
              <w:r w:rsidRPr="007B21AB">
                <w:rPr>
                  <w:rFonts w:ascii="Arial" w:eastAsia="Times New Roman" w:hAnsi="Arial" w:cs="Arial"/>
                  <w:sz w:val="24"/>
                  <w:szCs w:val="24"/>
                  <w:lang w:eastAsia="tr-TR"/>
                </w:rPr>
                <w:t>VUK genel tebliği No:419)</w:t>
              </w:r>
            </w:hyperlink>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580DCC">
            <w:pPr>
              <w:spacing w:before="100" w:beforeAutospacing="1" w:after="100" w:afterAutospacing="1"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 xml:space="preserve">% 7,80 </w:t>
            </w:r>
          </w:p>
        </w:tc>
      </w:tr>
      <w:tr w:rsidR="0036526B" w:rsidRPr="007B21AB"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36526B">
            <w:pPr>
              <w:spacing w:after="0" w:line="240" w:lineRule="auto"/>
              <w:rPr>
                <w:rFonts w:ascii="Arial" w:eastAsia="Times New Roman" w:hAnsi="Arial" w:cs="Arial"/>
                <w:sz w:val="24"/>
                <w:szCs w:val="24"/>
                <w:lang w:eastAsia="tr-TR"/>
              </w:rPr>
            </w:pPr>
            <w:r w:rsidRPr="007B21AB">
              <w:rPr>
                <w:rFonts w:ascii="Arial" w:eastAsia="Times New Roman" w:hAnsi="Arial" w:cs="Arial"/>
                <w:sz w:val="24"/>
                <w:szCs w:val="24"/>
                <w:lang w:eastAsia="tr-TR"/>
              </w:rPr>
              <w:t>2011 yılı yeniden değerleme oranı (</w:t>
            </w:r>
            <w:hyperlink r:id="rId7" w:history="1">
              <w:r w:rsidRPr="007B21AB">
                <w:rPr>
                  <w:rFonts w:ascii="Arial" w:eastAsia="Times New Roman" w:hAnsi="Arial" w:cs="Arial"/>
                  <w:sz w:val="24"/>
                  <w:szCs w:val="24"/>
                  <w:lang w:eastAsia="tr-TR"/>
                </w:rPr>
                <w:t>VUK genel tebliği No:410)</w:t>
              </w:r>
            </w:hyperlink>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580DCC">
            <w:pPr>
              <w:spacing w:before="100" w:beforeAutospacing="1" w:after="100" w:afterAutospacing="1"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 xml:space="preserve">% 10,26 </w:t>
            </w:r>
          </w:p>
        </w:tc>
      </w:tr>
      <w:tr w:rsidR="0036526B" w:rsidRPr="007B21AB"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36526B">
            <w:pPr>
              <w:spacing w:after="0" w:line="240" w:lineRule="auto"/>
              <w:rPr>
                <w:rFonts w:ascii="Arial" w:eastAsia="Times New Roman" w:hAnsi="Arial" w:cs="Arial"/>
                <w:sz w:val="24"/>
                <w:szCs w:val="24"/>
                <w:lang w:eastAsia="tr-TR"/>
              </w:rPr>
            </w:pPr>
            <w:r w:rsidRPr="007B21AB">
              <w:rPr>
                <w:rFonts w:ascii="Arial" w:eastAsia="Times New Roman" w:hAnsi="Arial" w:cs="Arial"/>
                <w:sz w:val="24"/>
                <w:szCs w:val="24"/>
                <w:lang w:eastAsia="tr-TR"/>
              </w:rPr>
              <w:t>2010 yılı yeniden değerleme oranı (</w:t>
            </w:r>
            <w:hyperlink r:id="rId8" w:history="1">
              <w:r w:rsidRPr="007B21AB">
                <w:rPr>
                  <w:rFonts w:ascii="Arial" w:eastAsia="Times New Roman" w:hAnsi="Arial" w:cs="Arial"/>
                  <w:sz w:val="24"/>
                  <w:szCs w:val="24"/>
                  <w:lang w:eastAsia="tr-TR"/>
                </w:rPr>
                <w:t>VUK genel tebliği No:401)</w:t>
              </w:r>
            </w:hyperlink>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580DCC">
            <w:pPr>
              <w:spacing w:before="100" w:beforeAutospacing="1" w:after="100" w:afterAutospacing="1"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 xml:space="preserve">% 7,7 </w:t>
            </w:r>
          </w:p>
        </w:tc>
      </w:tr>
      <w:tr w:rsidR="0036526B" w:rsidRPr="007B21AB"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36526B">
            <w:pPr>
              <w:spacing w:after="0" w:line="240" w:lineRule="auto"/>
              <w:rPr>
                <w:rFonts w:ascii="Arial" w:eastAsia="Times New Roman" w:hAnsi="Arial" w:cs="Arial"/>
                <w:sz w:val="24"/>
                <w:szCs w:val="24"/>
                <w:lang w:eastAsia="tr-TR"/>
              </w:rPr>
            </w:pPr>
            <w:r w:rsidRPr="007B21AB">
              <w:rPr>
                <w:rFonts w:ascii="Arial" w:eastAsia="Times New Roman" w:hAnsi="Arial" w:cs="Arial"/>
                <w:sz w:val="24"/>
                <w:szCs w:val="24"/>
                <w:lang w:eastAsia="tr-TR"/>
              </w:rPr>
              <w:t>2009 yılı yeniden değerleme oranı (</w:t>
            </w:r>
            <w:hyperlink r:id="rId9" w:history="1">
              <w:r w:rsidRPr="007B21AB">
                <w:rPr>
                  <w:rFonts w:ascii="Arial" w:eastAsia="Times New Roman" w:hAnsi="Arial" w:cs="Arial"/>
                  <w:sz w:val="24"/>
                  <w:szCs w:val="24"/>
                  <w:lang w:eastAsia="tr-TR"/>
                </w:rPr>
                <w:t>VUK genel tebliği No:392)</w:t>
              </w:r>
            </w:hyperlink>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580DCC">
            <w:pPr>
              <w:spacing w:before="100" w:beforeAutospacing="1" w:after="100" w:afterAutospacing="1"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 xml:space="preserve">% 2,2 </w:t>
            </w:r>
          </w:p>
        </w:tc>
      </w:tr>
      <w:tr w:rsidR="0036526B" w:rsidRPr="007B21AB"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36526B">
            <w:pPr>
              <w:spacing w:after="0" w:line="240" w:lineRule="auto"/>
              <w:rPr>
                <w:rFonts w:ascii="Arial" w:eastAsia="Times New Roman" w:hAnsi="Arial" w:cs="Arial"/>
                <w:sz w:val="24"/>
                <w:szCs w:val="24"/>
                <w:lang w:eastAsia="tr-TR"/>
              </w:rPr>
            </w:pPr>
            <w:r w:rsidRPr="007B21AB">
              <w:rPr>
                <w:rFonts w:ascii="Arial" w:eastAsia="Times New Roman" w:hAnsi="Arial" w:cs="Arial"/>
                <w:sz w:val="24"/>
                <w:szCs w:val="24"/>
                <w:lang w:eastAsia="tr-TR"/>
              </w:rPr>
              <w:t>2008 yılı yeniden değerleme oranı (</w:t>
            </w:r>
            <w:hyperlink r:id="rId10" w:history="1">
              <w:r w:rsidRPr="007B21AB">
                <w:rPr>
                  <w:rFonts w:ascii="Arial" w:eastAsia="Times New Roman" w:hAnsi="Arial" w:cs="Arial"/>
                  <w:sz w:val="24"/>
                  <w:szCs w:val="24"/>
                  <w:lang w:eastAsia="tr-TR"/>
                </w:rPr>
                <w:t>VUK genel tebliği No:388)</w:t>
              </w:r>
            </w:hyperlink>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580DCC">
            <w:pPr>
              <w:spacing w:before="100" w:beforeAutospacing="1" w:after="100" w:afterAutospacing="1"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 xml:space="preserve">% 12 </w:t>
            </w:r>
          </w:p>
        </w:tc>
      </w:tr>
      <w:tr w:rsidR="0036526B" w:rsidRPr="007B21AB"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36526B">
            <w:pPr>
              <w:spacing w:after="0" w:line="240" w:lineRule="auto"/>
              <w:rPr>
                <w:rFonts w:ascii="Arial" w:eastAsia="Times New Roman" w:hAnsi="Arial" w:cs="Arial"/>
                <w:sz w:val="24"/>
                <w:szCs w:val="24"/>
                <w:lang w:eastAsia="tr-TR"/>
              </w:rPr>
            </w:pPr>
            <w:r w:rsidRPr="007B21AB">
              <w:rPr>
                <w:rFonts w:ascii="Arial" w:eastAsia="Times New Roman" w:hAnsi="Arial" w:cs="Arial"/>
                <w:sz w:val="24"/>
                <w:szCs w:val="24"/>
                <w:lang w:eastAsia="tr-TR"/>
              </w:rPr>
              <w:t>2007 yılı yeniden değerleme oranı (</w:t>
            </w:r>
            <w:hyperlink r:id="rId11" w:history="1">
              <w:r w:rsidRPr="007B21AB">
                <w:rPr>
                  <w:rFonts w:ascii="Arial" w:eastAsia="Times New Roman" w:hAnsi="Arial" w:cs="Arial"/>
                  <w:sz w:val="24"/>
                  <w:szCs w:val="24"/>
                  <w:lang w:eastAsia="tr-TR"/>
                </w:rPr>
                <w:t>VUK genel tebliği No:377</w:t>
              </w:r>
            </w:hyperlink>
            <w:r w:rsidRPr="007B21AB">
              <w:rPr>
                <w:rFonts w:ascii="Arial" w:eastAsia="Times New Roman" w:hAnsi="Arial" w:cs="Arial"/>
                <w:sz w:val="24"/>
                <w:szCs w:val="24"/>
                <w:lang w:eastAsia="tr-TR"/>
              </w:rPr>
              <w:t>)</w:t>
            </w:r>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580DCC">
            <w:pPr>
              <w:spacing w:before="100" w:beforeAutospacing="1" w:after="100" w:afterAutospacing="1"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 xml:space="preserve">% 7.2 </w:t>
            </w:r>
          </w:p>
        </w:tc>
      </w:tr>
      <w:tr w:rsidR="0036526B" w:rsidRPr="007B21AB"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36526B">
            <w:pPr>
              <w:spacing w:after="0" w:line="240" w:lineRule="auto"/>
              <w:rPr>
                <w:rFonts w:ascii="Arial" w:eastAsia="Times New Roman" w:hAnsi="Arial" w:cs="Arial"/>
                <w:sz w:val="24"/>
                <w:szCs w:val="24"/>
                <w:lang w:eastAsia="tr-TR"/>
              </w:rPr>
            </w:pPr>
            <w:r w:rsidRPr="007B21AB">
              <w:rPr>
                <w:rFonts w:ascii="Arial" w:eastAsia="Times New Roman" w:hAnsi="Arial" w:cs="Arial"/>
                <w:sz w:val="24"/>
                <w:szCs w:val="24"/>
                <w:lang w:eastAsia="tr-TR"/>
              </w:rPr>
              <w:t>2006 yılı yeniden değerleme oranı (</w:t>
            </w:r>
            <w:hyperlink r:id="rId12" w:history="1">
              <w:r w:rsidRPr="007B21AB">
                <w:rPr>
                  <w:rFonts w:ascii="Arial" w:eastAsia="Times New Roman" w:hAnsi="Arial" w:cs="Arial"/>
                  <w:sz w:val="24"/>
                  <w:szCs w:val="24"/>
                  <w:lang w:eastAsia="tr-TR"/>
                </w:rPr>
                <w:t>VUK genel tebliği No:363</w:t>
              </w:r>
            </w:hyperlink>
            <w:r w:rsidRPr="007B21AB">
              <w:rPr>
                <w:rFonts w:ascii="Arial" w:eastAsia="Times New Roman" w:hAnsi="Arial" w:cs="Arial"/>
                <w:sz w:val="24"/>
                <w:szCs w:val="24"/>
                <w:lang w:eastAsia="tr-TR"/>
              </w:rPr>
              <w:t>)</w:t>
            </w:r>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580DCC">
            <w:pPr>
              <w:spacing w:before="100" w:beforeAutospacing="1" w:after="100" w:afterAutospacing="1"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 xml:space="preserve">% 7.8 </w:t>
            </w:r>
          </w:p>
        </w:tc>
      </w:tr>
      <w:tr w:rsidR="0036526B" w:rsidRPr="007B21AB"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36526B">
            <w:pPr>
              <w:spacing w:after="0" w:line="240" w:lineRule="auto"/>
              <w:rPr>
                <w:rFonts w:ascii="Arial" w:eastAsia="Times New Roman" w:hAnsi="Arial" w:cs="Arial"/>
                <w:sz w:val="24"/>
                <w:szCs w:val="24"/>
                <w:lang w:eastAsia="tr-TR"/>
              </w:rPr>
            </w:pPr>
            <w:r w:rsidRPr="007B21AB">
              <w:rPr>
                <w:rFonts w:ascii="Arial" w:eastAsia="Times New Roman" w:hAnsi="Arial" w:cs="Arial"/>
                <w:sz w:val="24"/>
                <w:szCs w:val="24"/>
                <w:lang w:eastAsia="tr-TR"/>
              </w:rPr>
              <w:t>2005 yılı yeniden değerleme oranı (</w:t>
            </w:r>
            <w:hyperlink r:id="rId13" w:history="1">
              <w:r w:rsidRPr="007B21AB">
                <w:rPr>
                  <w:rFonts w:ascii="Arial" w:eastAsia="Times New Roman" w:hAnsi="Arial" w:cs="Arial"/>
                  <w:sz w:val="24"/>
                  <w:szCs w:val="24"/>
                  <w:lang w:eastAsia="tr-TR"/>
                </w:rPr>
                <w:t>VUK genel tebliği No:353</w:t>
              </w:r>
            </w:hyperlink>
            <w:r w:rsidRPr="007B21AB">
              <w:rPr>
                <w:rFonts w:ascii="Arial" w:eastAsia="Times New Roman" w:hAnsi="Arial" w:cs="Arial"/>
                <w:sz w:val="24"/>
                <w:szCs w:val="24"/>
                <w:lang w:eastAsia="tr-TR"/>
              </w:rPr>
              <w:t>)</w:t>
            </w:r>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580DCC">
            <w:pPr>
              <w:spacing w:before="100" w:beforeAutospacing="1" w:after="100" w:afterAutospacing="1"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 xml:space="preserve">% 9.8 </w:t>
            </w:r>
          </w:p>
        </w:tc>
      </w:tr>
      <w:tr w:rsidR="0036526B" w:rsidRPr="007B21AB"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36526B">
            <w:pPr>
              <w:spacing w:after="0" w:line="240" w:lineRule="auto"/>
              <w:rPr>
                <w:rFonts w:ascii="Arial" w:eastAsia="Times New Roman" w:hAnsi="Arial" w:cs="Arial"/>
                <w:sz w:val="24"/>
                <w:szCs w:val="24"/>
                <w:lang w:eastAsia="tr-TR"/>
              </w:rPr>
            </w:pPr>
            <w:r w:rsidRPr="007B21AB">
              <w:rPr>
                <w:rFonts w:ascii="Arial" w:eastAsia="Times New Roman" w:hAnsi="Arial" w:cs="Arial"/>
                <w:sz w:val="24"/>
                <w:szCs w:val="24"/>
                <w:lang w:eastAsia="tr-TR"/>
              </w:rPr>
              <w:t>2004 yılı yeniden değerleme oranı (VUK genel tebliği No:341)</w:t>
            </w:r>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7B21AB" w:rsidRDefault="0036526B" w:rsidP="00580DCC">
            <w:pPr>
              <w:spacing w:before="100" w:beforeAutospacing="1" w:after="100" w:afterAutospacing="1"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 xml:space="preserve">% 11.2 </w:t>
            </w:r>
          </w:p>
        </w:tc>
      </w:tr>
    </w:tbl>
    <w:p w:rsidR="0036526B" w:rsidRPr="007B21AB" w:rsidRDefault="0036526B">
      <w:pPr>
        <w:rPr>
          <w:rFonts w:ascii="Arial" w:hAnsi="Arial" w:cs="Arial"/>
          <w:bCs/>
          <w:sz w:val="24"/>
          <w:szCs w:val="24"/>
        </w:rPr>
      </w:pPr>
    </w:p>
    <w:p w:rsidR="00BC1471" w:rsidRPr="007B21AB" w:rsidRDefault="00BC1471">
      <w:pPr>
        <w:rPr>
          <w:rFonts w:ascii="Arial" w:hAnsi="Arial" w:cs="Arial"/>
          <w:bCs/>
          <w:sz w:val="24"/>
          <w:szCs w:val="24"/>
        </w:rPr>
      </w:pPr>
      <w:r w:rsidRPr="007B21AB">
        <w:rPr>
          <w:rFonts w:ascii="Arial" w:hAnsi="Arial" w:cs="Arial"/>
          <w:bCs/>
          <w:sz w:val="24"/>
          <w:szCs w:val="24"/>
        </w:rPr>
        <w:tab/>
        <w:t xml:space="preserve">Yeniden değerleme oranlarını yıllar itibariyle </w:t>
      </w:r>
      <w:r w:rsidR="00AE6D10" w:rsidRPr="007B21AB">
        <w:rPr>
          <w:rFonts w:ascii="Arial" w:hAnsi="Arial" w:cs="Arial"/>
          <w:bCs/>
          <w:sz w:val="24"/>
          <w:szCs w:val="24"/>
        </w:rPr>
        <w:t xml:space="preserve">geometrik dizi </w:t>
      </w:r>
      <w:r w:rsidRPr="007B21AB">
        <w:rPr>
          <w:rFonts w:ascii="Arial" w:hAnsi="Arial" w:cs="Arial"/>
          <w:bCs/>
          <w:sz w:val="24"/>
          <w:szCs w:val="24"/>
        </w:rPr>
        <w:t>artış etkisini bir tarafa bırakarak topladığımızda dahi %</w:t>
      </w:r>
      <w:r w:rsidR="00172EF6" w:rsidRPr="007B21AB">
        <w:rPr>
          <w:rFonts w:ascii="Arial" w:hAnsi="Arial" w:cs="Arial"/>
          <w:bCs/>
          <w:sz w:val="24"/>
          <w:szCs w:val="24"/>
        </w:rPr>
        <w:t>88,48</w:t>
      </w:r>
      <w:r w:rsidRPr="007B21AB">
        <w:rPr>
          <w:rFonts w:ascii="Arial" w:hAnsi="Arial" w:cs="Arial"/>
          <w:bCs/>
          <w:sz w:val="24"/>
          <w:szCs w:val="24"/>
        </w:rPr>
        <w:t xml:space="preserve"> gibi bir orana ulaşıyoruz. Öyle ise bir de yıllar itibariyle tüfe ve tefe enflasyonlarını görelim. </w:t>
      </w:r>
    </w:p>
    <w:p w:rsidR="00BC1471" w:rsidRPr="007B21AB" w:rsidRDefault="00BC1471">
      <w:pPr>
        <w:rPr>
          <w:rFonts w:ascii="Arial" w:hAnsi="Arial" w:cs="Arial"/>
          <w:bCs/>
          <w:sz w:val="24"/>
          <w:szCs w:val="24"/>
        </w:rPr>
      </w:pPr>
      <w:r w:rsidRPr="007B21AB">
        <w:rPr>
          <w:rFonts w:ascii="Arial" w:hAnsi="Arial" w:cs="Arial"/>
          <w:bCs/>
          <w:sz w:val="24"/>
          <w:szCs w:val="24"/>
        </w:rPr>
        <w:tab/>
        <w:t xml:space="preserve">Tüfe endeks rakamları 2003 yılında 100 olarak yeniden </w:t>
      </w:r>
      <w:proofErr w:type="spellStart"/>
      <w:r w:rsidRPr="007B21AB">
        <w:rPr>
          <w:rFonts w:ascii="Arial" w:hAnsi="Arial" w:cs="Arial"/>
          <w:bCs/>
          <w:sz w:val="24"/>
          <w:szCs w:val="24"/>
        </w:rPr>
        <w:t>tesbit</w:t>
      </w:r>
      <w:proofErr w:type="spellEnd"/>
      <w:r w:rsidRPr="007B21AB">
        <w:rPr>
          <w:rFonts w:ascii="Arial" w:hAnsi="Arial" w:cs="Arial"/>
          <w:bCs/>
          <w:sz w:val="24"/>
          <w:szCs w:val="24"/>
        </w:rPr>
        <w:t xml:space="preserve"> edilmiştir. </w:t>
      </w:r>
    </w:p>
    <w:p w:rsidR="0036526B" w:rsidRPr="007B21AB" w:rsidRDefault="0036526B">
      <w:pPr>
        <w:rPr>
          <w:rFonts w:ascii="Arial" w:hAnsi="Arial" w:cs="Arial"/>
          <w:sz w:val="24"/>
          <w:szCs w:val="24"/>
        </w:rPr>
      </w:pPr>
    </w:p>
    <w:p w:rsidR="00AE6D10" w:rsidRPr="007B21AB" w:rsidRDefault="00AE6D10">
      <w:pPr>
        <w:rPr>
          <w:rFonts w:ascii="Arial" w:hAnsi="Arial" w:cs="Arial"/>
          <w:sz w:val="24"/>
          <w:szCs w:val="24"/>
        </w:rPr>
      </w:pPr>
    </w:p>
    <w:p w:rsidR="00AE6D10" w:rsidRPr="007B21AB" w:rsidRDefault="00AE6D10">
      <w:pPr>
        <w:rPr>
          <w:rFonts w:ascii="Arial" w:hAnsi="Arial" w:cs="Arial"/>
          <w:sz w:val="24"/>
          <w:szCs w:val="24"/>
        </w:rPr>
      </w:pPr>
    </w:p>
    <w:tbl>
      <w:tblPr>
        <w:tblW w:w="6355" w:type="dxa"/>
        <w:tblCellMar>
          <w:left w:w="70" w:type="dxa"/>
          <w:right w:w="70" w:type="dxa"/>
        </w:tblCellMar>
        <w:tblLook w:val="04A0" w:firstRow="1" w:lastRow="0" w:firstColumn="1" w:lastColumn="0" w:noHBand="0" w:noVBand="1"/>
      </w:tblPr>
      <w:tblGrid>
        <w:gridCol w:w="674"/>
        <w:gridCol w:w="1831"/>
        <w:gridCol w:w="1134"/>
        <w:gridCol w:w="370"/>
        <w:gridCol w:w="160"/>
        <w:gridCol w:w="2186"/>
      </w:tblGrid>
      <w:tr w:rsidR="002316FA" w:rsidRPr="007B21AB" w:rsidTr="002316FA">
        <w:trPr>
          <w:trHeight w:val="240"/>
        </w:trPr>
        <w:tc>
          <w:tcPr>
            <w:tcW w:w="3614" w:type="dxa"/>
            <w:gridSpan w:val="3"/>
            <w:tcBorders>
              <w:top w:val="nil"/>
              <w:left w:val="nil"/>
              <w:bottom w:val="nil"/>
              <w:right w:val="nil"/>
            </w:tcBorders>
            <w:shd w:val="clear" w:color="000000" w:fill="FFFFFF"/>
            <w:noWrap/>
            <w:vAlign w:val="bottom"/>
            <w:hideMark/>
          </w:tcPr>
          <w:p w:rsidR="002316FA" w:rsidRPr="007B21AB" w:rsidRDefault="002316FA" w:rsidP="0036526B">
            <w:pPr>
              <w:spacing w:after="0" w:line="240" w:lineRule="auto"/>
              <w:rPr>
                <w:rFonts w:ascii="Arial" w:eastAsia="Times New Roman" w:hAnsi="Arial" w:cs="Arial"/>
                <w:bCs/>
                <w:sz w:val="24"/>
                <w:szCs w:val="24"/>
                <w:lang w:eastAsia="tr-TR"/>
              </w:rPr>
            </w:pPr>
            <w:r w:rsidRPr="007B21AB">
              <w:rPr>
                <w:rFonts w:ascii="Arial" w:eastAsia="Times New Roman" w:hAnsi="Arial" w:cs="Arial"/>
                <w:bCs/>
                <w:sz w:val="24"/>
                <w:szCs w:val="24"/>
                <w:lang w:eastAsia="tr-TR"/>
              </w:rPr>
              <w:t>Tüketici Fiyatları Endeks Rakamları (2003=100)</w:t>
            </w:r>
          </w:p>
        </w:tc>
        <w:tc>
          <w:tcPr>
            <w:tcW w:w="2741" w:type="dxa"/>
            <w:gridSpan w:val="3"/>
            <w:tcBorders>
              <w:top w:val="nil"/>
              <w:left w:val="nil"/>
              <w:bottom w:val="nil"/>
              <w:right w:val="nil"/>
            </w:tcBorders>
            <w:shd w:val="clear" w:color="000000" w:fill="FFFFFF"/>
          </w:tcPr>
          <w:p w:rsidR="002316FA" w:rsidRPr="007B21AB" w:rsidRDefault="002316FA" w:rsidP="0036526B">
            <w:pPr>
              <w:spacing w:after="0" w:line="240" w:lineRule="auto"/>
              <w:rPr>
                <w:rFonts w:ascii="Arial" w:eastAsia="Times New Roman" w:hAnsi="Arial" w:cs="Arial"/>
                <w:sz w:val="24"/>
                <w:szCs w:val="24"/>
                <w:lang w:eastAsia="tr-TR"/>
              </w:rPr>
            </w:pPr>
            <w:r w:rsidRPr="007B21AB">
              <w:rPr>
                <w:rFonts w:ascii="Arial" w:eastAsia="Times New Roman" w:hAnsi="Arial" w:cs="Arial"/>
                <w:sz w:val="24"/>
                <w:szCs w:val="24"/>
                <w:lang w:eastAsia="tr-TR"/>
              </w:rPr>
              <w:t xml:space="preserve">Üretici fiyat endeks rakamları </w:t>
            </w:r>
          </w:p>
        </w:tc>
      </w:tr>
      <w:tr w:rsidR="002316FA" w:rsidRPr="007B21AB" w:rsidTr="002316FA">
        <w:trPr>
          <w:trHeight w:val="255"/>
        </w:trPr>
        <w:tc>
          <w:tcPr>
            <w:tcW w:w="3614" w:type="dxa"/>
            <w:gridSpan w:val="3"/>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2741" w:type="dxa"/>
            <w:gridSpan w:val="3"/>
            <w:tcBorders>
              <w:top w:val="nil"/>
              <w:left w:val="nil"/>
              <w:bottom w:val="nil"/>
              <w:right w:val="nil"/>
            </w:tcBorders>
            <w:shd w:val="clear" w:color="000000" w:fill="FFFFFF"/>
          </w:tcPr>
          <w:p w:rsidR="002316FA" w:rsidRPr="007B21AB" w:rsidRDefault="002316FA" w:rsidP="0036526B">
            <w:pPr>
              <w:spacing w:after="0" w:line="240" w:lineRule="auto"/>
              <w:rPr>
                <w:rFonts w:ascii="Arial" w:eastAsia="Times New Roman" w:hAnsi="Arial" w:cs="Arial"/>
                <w:sz w:val="24"/>
                <w:szCs w:val="24"/>
                <w:lang w:eastAsia="tr-TR"/>
              </w:rPr>
            </w:pPr>
          </w:p>
        </w:tc>
      </w:tr>
      <w:tr w:rsidR="002316FA" w:rsidRPr="007B21AB" w:rsidTr="002316FA">
        <w:trPr>
          <w:trHeight w:val="240"/>
        </w:trPr>
        <w:tc>
          <w:tcPr>
            <w:tcW w:w="649" w:type="dxa"/>
            <w:tcBorders>
              <w:top w:val="nil"/>
              <w:left w:val="nil"/>
              <w:bottom w:val="single" w:sz="4" w:space="0" w:color="auto"/>
              <w:right w:val="nil"/>
            </w:tcBorders>
            <w:shd w:val="clear" w:color="000000" w:fill="FFFFFF"/>
            <w:noWrap/>
            <w:vAlign w:val="bottom"/>
            <w:hideMark/>
          </w:tcPr>
          <w:p w:rsidR="002316FA" w:rsidRPr="007B21AB" w:rsidRDefault="002316FA" w:rsidP="0036526B">
            <w:pPr>
              <w:spacing w:after="0" w:line="240" w:lineRule="auto"/>
              <w:jc w:val="center"/>
              <w:rPr>
                <w:rFonts w:ascii="Arial" w:eastAsia="Times New Roman" w:hAnsi="Arial" w:cs="Arial"/>
                <w:bCs/>
                <w:sz w:val="24"/>
                <w:szCs w:val="24"/>
                <w:lang w:eastAsia="tr-TR"/>
              </w:rPr>
            </w:pPr>
            <w:r w:rsidRPr="007B21AB">
              <w:rPr>
                <w:rFonts w:ascii="Arial" w:eastAsia="Times New Roman" w:hAnsi="Arial" w:cs="Arial"/>
                <w:bCs/>
                <w:sz w:val="24"/>
                <w:szCs w:val="24"/>
                <w:lang w:eastAsia="tr-TR"/>
              </w:rPr>
              <w:t> </w:t>
            </w:r>
          </w:p>
        </w:tc>
        <w:tc>
          <w:tcPr>
            <w:tcW w:w="1831" w:type="dxa"/>
            <w:tcBorders>
              <w:top w:val="nil"/>
              <w:left w:val="nil"/>
              <w:bottom w:val="single" w:sz="4" w:space="0" w:color="auto"/>
              <w:right w:val="nil"/>
            </w:tcBorders>
            <w:shd w:val="clear" w:color="000000" w:fill="FFFFFF"/>
            <w:noWrap/>
            <w:vAlign w:val="bottom"/>
            <w:hideMark/>
          </w:tcPr>
          <w:p w:rsidR="002316FA" w:rsidRPr="007B21AB" w:rsidRDefault="002316FA" w:rsidP="0036526B">
            <w:pPr>
              <w:spacing w:after="0" w:line="240" w:lineRule="auto"/>
              <w:jc w:val="right"/>
              <w:rPr>
                <w:rFonts w:ascii="Arial" w:eastAsia="Times New Roman" w:hAnsi="Arial" w:cs="Arial"/>
                <w:sz w:val="24"/>
                <w:szCs w:val="24"/>
                <w:lang w:eastAsia="tr-TR"/>
              </w:rPr>
            </w:pPr>
          </w:p>
        </w:tc>
        <w:tc>
          <w:tcPr>
            <w:tcW w:w="1134" w:type="dxa"/>
            <w:tcBorders>
              <w:top w:val="nil"/>
              <w:left w:val="nil"/>
              <w:bottom w:val="single" w:sz="4" w:space="0" w:color="auto"/>
              <w:right w:val="nil"/>
            </w:tcBorders>
            <w:shd w:val="clear" w:color="000000" w:fill="FFFFFF"/>
            <w:noWrap/>
            <w:vAlign w:val="bottom"/>
          </w:tcPr>
          <w:p w:rsidR="002316FA" w:rsidRPr="007B21AB" w:rsidRDefault="002316FA" w:rsidP="0036526B">
            <w:pPr>
              <w:spacing w:after="0" w:line="240" w:lineRule="auto"/>
              <w:jc w:val="right"/>
              <w:rPr>
                <w:rFonts w:ascii="Arial" w:eastAsia="Times New Roman" w:hAnsi="Arial" w:cs="Arial"/>
                <w:sz w:val="24"/>
                <w:szCs w:val="24"/>
                <w:lang w:eastAsia="tr-TR"/>
              </w:rPr>
            </w:pPr>
          </w:p>
        </w:tc>
        <w:tc>
          <w:tcPr>
            <w:tcW w:w="370" w:type="dxa"/>
            <w:tcBorders>
              <w:top w:val="nil"/>
              <w:left w:val="nil"/>
              <w:bottom w:val="single" w:sz="4" w:space="0" w:color="auto"/>
              <w:right w:val="nil"/>
            </w:tcBorders>
            <w:shd w:val="clear" w:color="000000" w:fill="FFFFFF"/>
            <w:noWrap/>
            <w:vAlign w:val="bottom"/>
          </w:tcPr>
          <w:p w:rsidR="002316FA" w:rsidRPr="007B21AB" w:rsidRDefault="002316FA" w:rsidP="0036526B">
            <w:pPr>
              <w:spacing w:after="0" w:line="240" w:lineRule="auto"/>
              <w:jc w:val="right"/>
              <w:rPr>
                <w:rFonts w:ascii="Arial" w:eastAsia="Times New Roman" w:hAnsi="Arial" w:cs="Arial"/>
                <w:sz w:val="24"/>
                <w:szCs w:val="24"/>
                <w:lang w:eastAsia="tr-TR"/>
              </w:rPr>
            </w:pPr>
          </w:p>
        </w:tc>
        <w:tc>
          <w:tcPr>
            <w:tcW w:w="160" w:type="dxa"/>
            <w:tcBorders>
              <w:top w:val="nil"/>
              <w:left w:val="nil"/>
              <w:bottom w:val="single" w:sz="4" w:space="0" w:color="auto"/>
              <w:right w:val="nil"/>
            </w:tcBorders>
            <w:shd w:val="clear" w:color="000000" w:fill="FFFFFF"/>
            <w:noWrap/>
            <w:vAlign w:val="bottom"/>
          </w:tcPr>
          <w:p w:rsidR="002316FA" w:rsidRPr="007B21AB" w:rsidRDefault="002316FA" w:rsidP="0036526B">
            <w:pPr>
              <w:spacing w:after="0" w:line="240" w:lineRule="auto"/>
              <w:jc w:val="right"/>
              <w:rPr>
                <w:rFonts w:ascii="Arial" w:eastAsia="Times New Roman" w:hAnsi="Arial" w:cs="Arial"/>
                <w:sz w:val="24"/>
                <w:szCs w:val="24"/>
                <w:lang w:eastAsia="tr-TR"/>
              </w:rPr>
            </w:pPr>
          </w:p>
        </w:tc>
        <w:tc>
          <w:tcPr>
            <w:tcW w:w="2211" w:type="dxa"/>
            <w:tcBorders>
              <w:top w:val="nil"/>
              <w:left w:val="nil"/>
              <w:bottom w:val="single" w:sz="4" w:space="0" w:color="auto"/>
              <w:right w:val="nil"/>
            </w:tcBorders>
            <w:shd w:val="clear" w:color="000000" w:fill="FFFFFF"/>
          </w:tcPr>
          <w:p w:rsidR="002316FA" w:rsidRPr="007B21AB" w:rsidRDefault="002316FA" w:rsidP="0036526B">
            <w:pPr>
              <w:spacing w:after="0" w:line="240" w:lineRule="auto"/>
              <w:jc w:val="right"/>
              <w:rPr>
                <w:rFonts w:ascii="Arial" w:eastAsia="Times New Roman" w:hAnsi="Arial" w:cs="Arial"/>
                <w:sz w:val="24"/>
                <w:szCs w:val="24"/>
                <w:lang w:eastAsia="tr-TR"/>
              </w:rPr>
            </w:pPr>
          </w:p>
        </w:tc>
      </w:tr>
      <w:tr w:rsidR="002316FA" w:rsidRPr="007B21AB" w:rsidTr="002316FA">
        <w:trPr>
          <w:trHeight w:val="240"/>
        </w:trPr>
        <w:tc>
          <w:tcPr>
            <w:tcW w:w="649" w:type="dxa"/>
            <w:tcBorders>
              <w:top w:val="nil"/>
              <w:left w:val="nil"/>
              <w:bottom w:val="nil"/>
              <w:right w:val="nil"/>
            </w:tcBorders>
            <w:shd w:val="clear" w:color="000000" w:fill="FFFFFF"/>
            <w:noWrap/>
            <w:vAlign w:val="bottom"/>
            <w:hideMark/>
          </w:tcPr>
          <w:p w:rsidR="002316FA" w:rsidRPr="007B21AB" w:rsidRDefault="002316FA" w:rsidP="0036526B">
            <w:pPr>
              <w:spacing w:after="0" w:line="240" w:lineRule="auto"/>
              <w:jc w:val="center"/>
              <w:rPr>
                <w:rFonts w:ascii="Arial" w:eastAsia="Times New Roman" w:hAnsi="Arial" w:cs="Arial"/>
                <w:bCs/>
                <w:sz w:val="24"/>
                <w:szCs w:val="24"/>
                <w:lang w:eastAsia="tr-TR"/>
              </w:rPr>
            </w:pPr>
            <w:r w:rsidRPr="007B21AB">
              <w:rPr>
                <w:rFonts w:ascii="Arial" w:eastAsia="Times New Roman" w:hAnsi="Arial" w:cs="Arial"/>
                <w:bCs/>
                <w:sz w:val="24"/>
                <w:szCs w:val="24"/>
                <w:lang w:eastAsia="tr-TR"/>
              </w:rPr>
              <w:t>2003</w:t>
            </w:r>
          </w:p>
        </w:tc>
        <w:tc>
          <w:tcPr>
            <w:tcW w:w="1831" w:type="dxa"/>
            <w:tcBorders>
              <w:top w:val="nil"/>
              <w:left w:val="nil"/>
              <w:bottom w:val="nil"/>
              <w:right w:val="nil"/>
            </w:tcBorders>
            <w:shd w:val="clear" w:color="000000" w:fill="FFFFFF"/>
            <w:noWrap/>
            <w:vAlign w:val="bottom"/>
            <w:hideMark/>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94,77</w:t>
            </w:r>
          </w:p>
        </w:tc>
        <w:tc>
          <w:tcPr>
            <w:tcW w:w="1134"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37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16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2211" w:type="dxa"/>
            <w:tcBorders>
              <w:top w:val="nil"/>
              <w:left w:val="nil"/>
              <w:bottom w:val="nil"/>
              <w:right w:val="nil"/>
            </w:tcBorders>
            <w:shd w:val="clear" w:color="000000" w:fill="FFFFFF"/>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96,99</w:t>
            </w:r>
          </w:p>
        </w:tc>
      </w:tr>
      <w:tr w:rsidR="002316FA" w:rsidRPr="007B21AB" w:rsidTr="002316FA">
        <w:trPr>
          <w:trHeight w:val="240"/>
        </w:trPr>
        <w:tc>
          <w:tcPr>
            <w:tcW w:w="649" w:type="dxa"/>
            <w:tcBorders>
              <w:top w:val="nil"/>
              <w:left w:val="nil"/>
              <w:bottom w:val="nil"/>
              <w:right w:val="nil"/>
            </w:tcBorders>
            <w:shd w:val="clear" w:color="000000" w:fill="FFFFFF"/>
            <w:noWrap/>
            <w:vAlign w:val="bottom"/>
            <w:hideMark/>
          </w:tcPr>
          <w:p w:rsidR="002316FA" w:rsidRPr="007B21AB" w:rsidRDefault="002316FA" w:rsidP="0036526B">
            <w:pPr>
              <w:spacing w:after="0" w:line="240" w:lineRule="auto"/>
              <w:jc w:val="center"/>
              <w:rPr>
                <w:rFonts w:ascii="Arial" w:eastAsia="Times New Roman" w:hAnsi="Arial" w:cs="Arial"/>
                <w:bCs/>
                <w:sz w:val="24"/>
                <w:szCs w:val="24"/>
                <w:lang w:eastAsia="tr-TR"/>
              </w:rPr>
            </w:pPr>
            <w:r w:rsidRPr="007B21AB">
              <w:rPr>
                <w:rFonts w:ascii="Arial" w:eastAsia="Times New Roman" w:hAnsi="Arial" w:cs="Arial"/>
                <w:bCs/>
                <w:sz w:val="24"/>
                <w:szCs w:val="24"/>
                <w:lang w:eastAsia="tr-TR"/>
              </w:rPr>
              <w:t>2004</w:t>
            </w:r>
          </w:p>
        </w:tc>
        <w:tc>
          <w:tcPr>
            <w:tcW w:w="1831" w:type="dxa"/>
            <w:tcBorders>
              <w:top w:val="nil"/>
              <w:left w:val="nil"/>
              <w:bottom w:val="nil"/>
              <w:right w:val="nil"/>
            </w:tcBorders>
            <w:shd w:val="clear" w:color="000000" w:fill="FFFFFF"/>
            <w:noWrap/>
            <w:vAlign w:val="bottom"/>
            <w:hideMark/>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104,81</w:t>
            </w:r>
          </w:p>
        </w:tc>
        <w:tc>
          <w:tcPr>
            <w:tcW w:w="1134"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37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16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2211" w:type="dxa"/>
            <w:tcBorders>
              <w:top w:val="nil"/>
              <w:left w:val="nil"/>
              <w:bottom w:val="nil"/>
              <w:right w:val="nil"/>
            </w:tcBorders>
            <w:shd w:val="clear" w:color="000000" w:fill="FFFFFF"/>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107,17</w:t>
            </w:r>
          </w:p>
        </w:tc>
      </w:tr>
      <w:tr w:rsidR="002316FA" w:rsidRPr="007B21AB" w:rsidTr="002316FA">
        <w:trPr>
          <w:trHeight w:val="240"/>
        </w:trPr>
        <w:tc>
          <w:tcPr>
            <w:tcW w:w="649" w:type="dxa"/>
            <w:tcBorders>
              <w:top w:val="nil"/>
              <w:left w:val="nil"/>
              <w:bottom w:val="nil"/>
              <w:right w:val="nil"/>
            </w:tcBorders>
            <w:shd w:val="clear" w:color="000000" w:fill="FFFFFF"/>
            <w:noWrap/>
            <w:vAlign w:val="bottom"/>
            <w:hideMark/>
          </w:tcPr>
          <w:p w:rsidR="002316FA" w:rsidRPr="007B21AB" w:rsidRDefault="002316FA" w:rsidP="0036526B">
            <w:pPr>
              <w:spacing w:after="0" w:line="240" w:lineRule="auto"/>
              <w:jc w:val="center"/>
              <w:rPr>
                <w:rFonts w:ascii="Arial" w:eastAsia="Times New Roman" w:hAnsi="Arial" w:cs="Arial"/>
                <w:bCs/>
                <w:sz w:val="24"/>
                <w:szCs w:val="24"/>
                <w:lang w:eastAsia="tr-TR"/>
              </w:rPr>
            </w:pPr>
            <w:r w:rsidRPr="007B21AB">
              <w:rPr>
                <w:rFonts w:ascii="Arial" w:eastAsia="Times New Roman" w:hAnsi="Arial" w:cs="Arial"/>
                <w:bCs/>
                <w:sz w:val="24"/>
                <w:szCs w:val="24"/>
                <w:lang w:eastAsia="tr-TR"/>
              </w:rPr>
              <w:t>2005</w:t>
            </w:r>
          </w:p>
        </w:tc>
        <w:tc>
          <w:tcPr>
            <w:tcW w:w="1831" w:type="dxa"/>
            <w:tcBorders>
              <w:top w:val="nil"/>
              <w:left w:val="nil"/>
              <w:bottom w:val="nil"/>
              <w:right w:val="nil"/>
            </w:tcBorders>
            <w:shd w:val="clear" w:color="000000" w:fill="FFFFFF"/>
            <w:noWrap/>
            <w:vAlign w:val="bottom"/>
            <w:hideMark/>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114,49</w:t>
            </w:r>
          </w:p>
        </w:tc>
        <w:tc>
          <w:tcPr>
            <w:tcW w:w="1134"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37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16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2211" w:type="dxa"/>
            <w:tcBorders>
              <w:top w:val="nil"/>
              <w:left w:val="nil"/>
              <w:bottom w:val="nil"/>
              <w:right w:val="nil"/>
            </w:tcBorders>
            <w:shd w:val="clear" w:color="000000" w:fill="FFFFFF"/>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118,64</w:t>
            </w:r>
          </w:p>
        </w:tc>
      </w:tr>
      <w:tr w:rsidR="002316FA" w:rsidRPr="007B21AB" w:rsidTr="002316FA">
        <w:trPr>
          <w:trHeight w:val="240"/>
        </w:trPr>
        <w:tc>
          <w:tcPr>
            <w:tcW w:w="649" w:type="dxa"/>
            <w:tcBorders>
              <w:top w:val="nil"/>
              <w:left w:val="nil"/>
              <w:bottom w:val="nil"/>
              <w:right w:val="nil"/>
            </w:tcBorders>
            <w:shd w:val="clear" w:color="000000" w:fill="FFFFFF"/>
            <w:noWrap/>
            <w:vAlign w:val="bottom"/>
            <w:hideMark/>
          </w:tcPr>
          <w:p w:rsidR="002316FA" w:rsidRPr="007B21AB" w:rsidRDefault="002316FA" w:rsidP="0036526B">
            <w:pPr>
              <w:spacing w:after="0" w:line="240" w:lineRule="auto"/>
              <w:jc w:val="center"/>
              <w:rPr>
                <w:rFonts w:ascii="Arial" w:eastAsia="Times New Roman" w:hAnsi="Arial" w:cs="Arial"/>
                <w:bCs/>
                <w:sz w:val="24"/>
                <w:szCs w:val="24"/>
                <w:lang w:eastAsia="tr-TR"/>
              </w:rPr>
            </w:pPr>
            <w:r w:rsidRPr="007B21AB">
              <w:rPr>
                <w:rFonts w:ascii="Arial" w:eastAsia="Times New Roman" w:hAnsi="Arial" w:cs="Arial"/>
                <w:bCs/>
                <w:sz w:val="24"/>
                <w:szCs w:val="24"/>
                <w:lang w:eastAsia="tr-TR"/>
              </w:rPr>
              <w:t>2006</w:t>
            </w:r>
          </w:p>
        </w:tc>
        <w:tc>
          <w:tcPr>
            <w:tcW w:w="1831" w:type="dxa"/>
            <w:tcBorders>
              <w:top w:val="nil"/>
              <w:left w:val="nil"/>
              <w:bottom w:val="nil"/>
              <w:right w:val="nil"/>
            </w:tcBorders>
            <w:shd w:val="clear" w:color="000000" w:fill="FFFFFF"/>
            <w:noWrap/>
            <w:vAlign w:val="bottom"/>
            <w:hideMark/>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123,57</w:t>
            </w:r>
          </w:p>
        </w:tc>
        <w:tc>
          <w:tcPr>
            <w:tcW w:w="1134"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37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16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2211" w:type="dxa"/>
            <w:tcBorders>
              <w:top w:val="nil"/>
              <w:left w:val="nil"/>
              <w:bottom w:val="nil"/>
              <w:right w:val="nil"/>
            </w:tcBorders>
            <w:shd w:val="clear" w:color="000000" w:fill="FFFFFF"/>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124,70</w:t>
            </w:r>
          </w:p>
        </w:tc>
      </w:tr>
      <w:tr w:rsidR="002316FA" w:rsidRPr="007B21AB" w:rsidTr="002316FA">
        <w:trPr>
          <w:trHeight w:val="240"/>
        </w:trPr>
        <w:tc>
          <w:tcPr>
            <w:tcW w:w="649" w:type="dxa"/>
            <w:tcBorders>
              <w:top w:val="nil"/>
              <w:left w:val="nil"/>
              <w:bottom w:val="nil"/>
              <w:right w:val="nil"/>
            </w:tcBorders>
            <w:shd w:val="clear" w:color="000000" w:fill="FFFFFF"/>
            <w:noWrap/>
            <w:vAlign w:val="bottom"/>
            <w:hideMark/>
          </w:tcPr>
          <w:p w:rsidR="002316FA" w:rsidRPr="007B21AB" w:rsidRDefault="002316FA" w:rsidP="0036526B">
            <w:pPr>
              <w:spacing w:after="0" w:line="240" w:lineRule="auto"/>
              <w:jc w:val="center"/>
              <w:rPr>
                <w:rFonts w:ascii="Arial" w:eastAsia="Times New Roman" w:hAnsi="Arial" w:cs="Arial"/>
                <w:bCs/>
                <w:sz w:val="24"/>
                <w:szCs w:val="24"/>
                <w:lang w:eastAsia="tr-TR"/>
              </w:rPr>
            </w:pPr>
            <w:r w:rsidRPr="007B21AB">
              <w:rPr>
                <w:rFonts w:ascii="Arial" w:eastAsia="Times New Roman" w:hAnsi="Arial" w:cs="Arial"/>
                <w:bCs/>
                <w:sz w:val="24"/>
                <w:szCs w:val="24"/>
                <w:lang w:eastAsia="tr-TR"/>
              </w:rPr>
              <w:t>2007</w:t>
            </w:r>
          </w:p>
        </w:tc>
        <w:tc>
          <w:tcPr>
            <w:tcW w:w="1831" w:type="dxa"/>
            <w:tcBorders>
              <w:top w:val="nil"/>
              <w:left w:val="nil"/>
              <w:bottom w:val="nil"/>
              <w:right w:val="nil"/>
            </w:tcBorders>
            <w:shd w:val="clear" w:color="000000" w:fill="FFFFFF"/>
            <w:noWrap/>
            <w:vAlign w:val="bottom"/>
            <w:hideMark/>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135,84</w:t>
            </w:r>
          </w:p>
        </w:tc>
        <w:tc>
          <w:tcPr>
            <w:tcW w:w="1134"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37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16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2211" w:type="dxa"/>
            <w:tcBorders>
              <w:top w:val="nil"/>
              <w:left w:val="nil"/>
              <w:bottom w:val="nil"/>
              <w:right w:val="nil"/>
            </w:tcBorders>
            <w:shd w:val="clear" w:color="000000" w:fill="FFFFFF"/>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136,39</w:t>
            </w:r>
          </w:p>
        </w:tc>
      </w:tr>
      <w:tr w:rsidR="002316FA" w:rsidRPr="007B21AB" w:rsidTr="002316FA">
        <w:trPr>
          <w:trHeight w:val="240"/>
        </w:trPr>
        <w:tc>
          <w:tcPr>
            <w:tcW w:w="649" w:type="dxa"/>
            <w:tcBorders>
              <w:top w:val="nil"/>
              <w:left w:val="nil"/>
              <w:bottom w:val="nil"/>
              <w:right w:val="nil"/>
            </w:tcBorders>
            <w:shd w:val="clear" w:color="000000" w:fill="FFFFFF"/>
            <w:noWrap/>
            <w:vAlign w:val="bottom"/>
            <w:hideMark/>
          </w:tcPr>
          <w:p w:rsidR="002316FA" w:rsidRPr="007B21AB" w:rsidRDefault="002316FA" w:rsidP="0036526B">
            <w:pPr>
              <w:spacing w:after="0" w:line="240" w:lineRule="auto"/>
              <w:jc w:val="center"/>
              <w:rPr>
                <w:rFonts w:ascii="Arial" w:eastAsia="Times New Roman" w:hAnsi="Arial" w:cs="Arial"/>
                <w:bCs/>
                <w:sz w:val="24"/>
                <w:szCs w:val="24"/>
                <w:lang w:eastAsia="tr-TR"/>
              </w:rPr>
            </w:pPr>
            <w:r w:rsidRPr="007B21AB">
              <w:rPr>
                <w:rFonts w:ascii="Arial" w:eastAsia="Times New Roman" w:hAnsi="Arial" w:cs="Arial"/>
                <w:bCs/>
                <w:sz w:val="24"/>
                <w:szCs w:val="24"/>
                <w:lang w:eastAsia="tr-TR"/>
              </w:rPr>
              <w:t>2008</w:t>
            </w:r>
          </w:p>
        </w:tc>
        <w:tc>
          <w:tcPr>
            <w:tcW w:w="1831" w:type="dxa"/>
            <w:tcBorders>
              <w:top w:val="nil"/>
              <w:left w:val="nil"/>
              <w:bottom w:val="nil"/>
              <w:right w:val="nil"/>
            </w:tcBorders>
            <w:shd w:val="clear" w:color="000000" w:fill="FFFFFF"/>
            <w:noWrap/>
            <w:vAlign w:val="bottom"/>
            <w:hideMark/>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146,94</w:t>
            </w:r>
          </w:p>
        </w:tc>
        <w:tc>
          <w:tcPr>
            <w:tcW w:w="1134"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37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16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2211" w:type="dxa"/>
            <w:tcBorders>
              <w:top w:val="nil"/>
              <w:left w:val="nil"/>
              <w:bottom w:val="nil"/>
              <w:right w:val="nil"/>
            </w:tcBorders>
            <w:shd w:val="clear" w:color="000000" w:fill="FFFFFF"/>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145,18</w:t>
            </w:r>
          </w:p>
        </w:tc>
      </w:tr>
      <w:tr w:rsidR="002316FA" w:rsidRPr="007B21AB" w:rsidTr="002316FA">
        <w:trPr>
          <w:trHeight w:val="240"/>
        </w:trPr>
        <w:tc>
          <w:tcPr>
            <w:tcW w:w="649" w:type="dxa"/>
            <w:tcBorders>
              <w:top w:val="nil"/>
              <w:left w:val="nil"/>
              <w:bottom w:val="nil"/>
              <w:right w:val="nil"/>
            </w:tcBorders>
            <w:shd w:val="clear" w:color="000000" w:fill="FFFFFF"/>
            <w:noWrap/>
            <w:vAlign w:val="bottom"/>
            <w:hideMark/>
          </w:tcPr>
          <w:p w:rsidR="002316FA" w:rsidRPr="007B21AB" w:rsidRDefault="002316FA" w:rsidP="0036526B">
            <w:pPr>
              <w:spacing w:after="0" w:line="240" w:lineRule="auto"/>
              <w:jc w:val="center"/>
              <w:rPr>
                <w:rFonts w:ascii="Arial" w:eastAsia="Times New Roman" w:hAnsi="Arial" w:cs="Arial"/>
                <w:bCs/>
                <w:sz w:val="24"/>
                <w:szCs w:val="24"/>
                <w:lang w:eastAsia="tr-TR"/>
              </w:rPr>
            </w:pPr>
            <w:r w:rsidRPr="007B21AB">
              <w:rPr>
                <w:rFonts w:ascii="Arial" w:eastAsia="Times New Roman" w:hAnsi="Arial" w:cs="Arial"/>
                <w:bCs/>
                <w:sz w:val="24"/>
                <w:szCs w:val="24"/>
                <w:lang w:eastAsia="tr-TR"/>
              </w:rPr>
              <w:t>2009</w:t>
            </w:r>
          </w:p>
        </w:tc>
        <w:tc>
          <w:tcPr>
            <w:tcW w:w="1831" w:type="dxa"/>
            <w:tcBorders>
              <w:top w:val="nil"/>
              <w:left w:val="nil"/>
              <w:bottom w:val="nil"/>
              <w:right w:val="nil"/>
            </w:tcBorders>
            <w:shd w:val="clear" w:color="000000" w:fill="FFFFFF"/>
            <w:noWrap/>
            <w:vAlign w:val="bottom"/>
            <w:hideMark/>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160,90</w:t>
            </w:r>
          </w:p>
        </w:tc>
        <w:tc>
          <w:tcPr>
            <w:tcW w:w="1134"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37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16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2211" w:type="dxa"/>
            <w:tcBorders>
              <w:top w:val="nil"/>
              <w:left w:val="nil"/>
              <w:bottom w:val="nil"/>
              <w:right w:val="nil"/>
            </w:tcBorders>
            <w:shd w:val="clear" w:color="000000" w:fill="FFFFFF"/>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156.65</w:t>
            </w:r>
          </w:p>
        </w:tc>
      </w:tr>
      <w:tr w:rsidR="002316FA" w:rsidRPr="007B21AB" w:rsidTr="002316FA">
        <w:trPr>
          <w:trHeight w:val="240"/>
        </w:trPr>
        <w:tc>
          <w:tcPr>
            <w:tcW w:w="649" w:type="dxa"/>
            <w:tcBorders>
              <w:top w:val="nil"/>
              <w:left w:val="nil"/>
              <w:bottom w:val="nil"/>
              <w:right w:val="nil"/>
            </w:tcBorders>
            <w:shd w:val="clear" w:color="000000" w:fill="FFFFFF"/>
            <w:noWrap/>
            <w:vAlign w:val="bottom"/>
            <w:hideMark/>
          </w:tcPr>
          <w:p w:rsidR="002316FA" w:rsidRPr="007B21AB" w:rsidRDefault="002316FA" w:rsidP="0036526B">
            <w:pPr>
              <w:spacing w:after="0" w:line="240" w:lineRule="auto"/>
              <w:jc w:val="center"/>
              <w:rPr>
                <w:rFonts w:ascii="Arial" w:eastAsia="Times New Roman" w:hAnsi="Arial" w:cs="Arial"/>
                <w:bCs/>
                <w:sz w:val="24"/>
                <w:szCs w:val="24"/>
                <w:lang w:eastAsia="tr-TR"/>
              </w:rPr>
            </w:pPr>
            <w:r w:rsidRPr="007B21AB">
              <w:rPr>
                <w:rFonts w:ascii="Arial" w:eastAsia="Times New Roman" w:hAnsi="Arial" w:cs="Arial"/>
                <w:bCs/>
                <w:sz w:val="24"/>
                <w:szCs w:val="24"/>
                <w:lang w:eastAsia="tr-TR"/>
              </w:rPr>
              <w:t>2010</w:t>
            </w:r>
          </w:p>
        </w:tc>
        <w:tc>
          <w:tcPr>
            <w:tcW w:w="1831" w:type="dxa"/>
            <w:tcBorders>
              <w:top w:val="nil"/>
              <w:left w:val="nil"/>
              <w:bottom w:val="nil"/>
              <w:right w:val="nil"/>
            </w:tcBorders>
            <w:shd w:val="clear" w:color="000000" w:fill="FFFFFF"/>
            <w:noWrap/>
            <w:vAlign w:val="bottom"/>
            <w:hideMark/>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174,07</w:t>
            </w:r>
          </w:p>
        </w:tc>
        <w:tc>
          <w:tcPr>
            <w:tcW w:w="1134"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37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16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2211" w:type="dxa"/>
            <w:tcBorders>
              <w:top w:val="nil"/>
              <w:left w:val="nil"/>
              <w:bottom w:val="nil"/>
              <w:right w:val="nil"/>
            </w:tcBorders>
            <w:shd w:val="clear" w:color="000000" w:fill="FFFFFF"/>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166,52</w:t>
            </w:r>
          </w:p>
        </w:tc>
      </w:tr>
      <w:tr w:rsidR="002316FA" w:rsidRPr="007B21AB" w:rsidTr="002316FA">
        <w:trPr>
          <w:trHeight w:val="240"/>
        </w:trPr>
        <w:tc>
          <w:tcPr>
            <w:tcW w:w="649" w:type="dxa"/>
            <w:tcBorders>
              <w:top w:val="nil"/>
              <w:left w:val="nil"/>
              <w:bottom w:val="nil"/>
              <w:right w:val="nil"/>
            </w:tcBorders>
            <w:shd w:val="clear" w:color="000000" w:fill="FFFFFF"/>
            <w:noWrap/>
            <w:vAlign w:val="bottom"/>
            <w:hideMark/>
          </w:tcPr>
          <w:p w:rsidR="002316FA" w:rsidRPr="007B21AB" w:rsidRDefault="002316FA" w:rsidP="0036526B">
            <w:pPr>
              <w:spacing w:after="0" w:line="240" w:lineRule="auto"/>
              <w:jc w:val="center"/>
              <w:rPr>
                <w:rFonts w:ascii="Arial" w:eastAsia="Times New Roman" w:hAnsi="Arial" w:cs="Arial"/>
                <w:bCs/>
                <w:sz w:val="24"/>
                <w:szCs w:val="24"/>
                <w:lang w:eastAsia="tr-TR"/>
              </w:rPr>
            </w:pPr>
            <w:r w:rsidRPr="007B21AB">
              <w:rPr>
                <w:rFonts w:ascii="Arial" w:eastAsia="Times New Roman" w:hAnsi="Arial" w:cs="Arial"/>
                <w:bCs/>
                <w:sz w:val="24"/>
                <w:szCs w:val="24"/>
                <w:lang w:eastAsia="tr-TR"/>
              </w:rPr>
              <w:t>2011</w:t>
            </w:r>
          </w:p>
        </w:tc>
        <w:tc>
          <w:tcPr>
            <w:tcW w:w="1831" w:type="dxa"/>
            <w:tcBorders>
              <w:top w:val="nil"/>
              <w:left w:val="nil"/>
              <w:bottom w:val="nil"/>
              <w:right w:val="nil"/>
            </w:tcBorders>
            <w:shd w:val="clear" w:color="000000" w:fill="FFFFFF"/>
            <w:noWrap/>
            <w:vAlign w:val="bottom"/>
            <w:hideMark/>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182,60</w:t>
            </w:r>
          </w:p>
        </w:tc>
        <w:tc>
          <w:tcPr>
            <w:tcW w:w="1134"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37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16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2211" w:type="dxa"/>
            <w:tcBorders>
              <w:top w:val="nil"/>
              <w:left w:val="nil"/>
              <w:bottom w:val="nil"/>
              <w:right w:val="nil"/>
            </w:tcBorders>
            <w:shd w:val="clear" w:color="000000" w:fill="FFFFFF"/>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184,51</w:t>
            </w:r>
          </w:p>
        </w:tc>
      </w:tr>
      <w:tr w:rsidR="002316FA" w:rsidRPr="007B21AB" w:rsidTr="002316FA">
        <w:trPr>
          <w:trHeight w:val="240"/>
        </w:trPr>
        <w:tc>
          <w:tcPr>
            <w:tcW w:w="649" w:type="dxa"/>
            <w:tcBorders>
              <w:top w:val="nil"/>
              <w:left w:val="nil"/>
              <w:bottom w:val="nil"/>
              <w:right w:val="nil"/>
            </w:tcBorders>
            <w:shd w:val="clear" w:color="000000" w:fill="FFFFFF"/>
            <w:noWrap/>
            <w:vAlign w:val="bottom"/>
            <w:hideMark/>
          </w:tcPr>
          <w:p w:rsidR="002316FA" w:rsidRPr="007B21AB" w:rsidRDefault="002316FA" w:rsidP="0036526B">
            <w:pPr>
              <w:spacing w:after="0" w:line="240" w:lineRule="auto"/>
              <w:jc w:val="center"/>
              <w:rPr>
                <w:rFonts w:ascii="Arial" w:eastAsia="Times New Roman" w:hAnsi="Arial" w:cs="Arial"/>
                <w:bCs/>
                <w:sz w:val="24"/>
                <w:szCs w:val="24"/>
                <w:lang w:eastAsia="tr-TR"/>
              </w:rPr>
            </w:pPr>
            <w:r w:rsidRPr="007B21AB">
              <w:rPr>
                <w:rFonts w:ascii="Arial" w:eastAsia="Times New Roman" w:hAnsi="Arial" w:cs="Arial"/>
                <w:bCs/>
                <w:sz w:val="24"/>
                <w:szCs w:val="24"/>
                <w:lang w:eastAsia="tr-TR"/>
              </w:rPr>
              <w:t>2012</w:t>
            </w:r>
          </w:p>
        </w:tc>
        <w:tc>
          <w:tcPr>
            <w:tcW w:w="1831" w:type="dxa"/>
            <w:tcBorders>
              <w:top w:val="nil"/>
              <w:left w:val="nil"/>
              <w:bottom w:val="nil"/>
              <w:right w:val="nil"/>
            </w:tcBorders>
            <w:shd w:val="clear" w:color="000000" w:fill="FFFFFF"/>
            <w:noWrap/>
            <w:vAlign w:val="bottom"/>
            <w:hideMark/>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201,98</w:t>
            </w:r>
          </w:p>
        </w:tc>
        <w:tc>
          <w:tcPr>
            <w:tcW w:w="1134"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37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16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2211" w:type="dxa"/>
            <w:tcBorders>
              <w:top w:val="nil"/>
              <w:left w:val="nil"/>
              <w:bottom w:val="nil"/>
              <w:right w:val="nil"/>
            </w:tcBorders>
            <w:shd w:val="clear" w:color="000000" w:fill="FFFFFF"/>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205,05</w:t>
            </w:r>
          </w:p>
        </w:tc>
      </w:tr>
      <w:tr w:rsidR="002316FA" w:rsidRPr="007B21AB" w:rsidTr="002316FA">
        <w:trPr>
          <w:trHeight w:val="255"/>
        </w:trPr>
        <w:tc>
          <w:tcPr>
            <w:tcW w:w="649" w:type="dxa"/>
            <w:tcBorders>
              <w:top w:val="nil"/>
              <w:left w:val="nil"/>
              <w:bottom w:val="nil"/>
              <w:right w:val="nil"/>
            </w:tcBorders>
            <w:shd w:val="clear" w:color="000000" w:fill="FFFFFF"/>
            <w:noWrap/>
            <w:vAlign w:val="bottom"/>
            <w:hideMark/>
          </w:tcPr>
          <w:p w:rsidR="002316FA" w:rsidRPr="007B21AB" w:rsidRDefault="002316FA" w:rsidP="0036526B">
            <w:pPr>
              <w:spacing w:after="0" w:line="240" w:lineRule="auto"/>
              <w:jc w:val="center"/>
              <w:rPr>
                <w:rFonts w:ascii="Arial" w:eastAsia="Times New Roman" w:hAnsi="Arial" w:cs="Arial"/>
                <w:bCs/>
                <w:sz w:val="24"/>
                <w:szCs w:val="24"/>
                <w:lang w:eastAsia="tr-TR"/>
              </w:rPr>
            </w:pPr>
            <w:r w:rsidRPr="007B21AB">
              <w:rPr>
                <w:rFonts w:ascii="Arial" w:eastAsia="Times New Roman" w:hAnsi="Arial" w:cs="Arial"/>
                <w:bCs/>
                <w:sz w:val="24"/>
                <w:szCs w:val="24"/>
                <w:lang w:eastAsia="tr-TR"/>
              </w:rPr>
              <w:t>2013</w:t>
            </w:r>
          </w:p>
        </w:tc>
        <w:tc>
          <w:tcPr>
            <w:tcW w:w="1831" w:type="dxa"/>
            <w:tcBorders>
              <w:top w:val="nil"/>
              <w:left w:val="nil"/>
              <w:bottom w:val="nil"/>
              <w:right w:val="nil"/>
            </w:tcBorders>
            <w:shd w:val="clear" w:color="000000" w:fill="FFFFFF"/>
            <w:noWrap/>
            <w:vAlign w:val="bottom"/>
            <w:hideMark/>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216,74</w:t>
            </w:r>
          </w:p>
        </w:tc>
        <w:tc>
          <w:tcPr>
            <w:tcW w:w="1134"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37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160" w:type="dxa"/>
            <w:tcBorders>
              <w:top w:val="nil"/>
              <w:left w:val="nil"/>
              <w:bottom w:val="nil"/>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2211" w:type="dxa"/>
            <w:tcBorders>
              <w:top w:val="nil"/>
              <w:left w:val="nil"/>
              <w:bottom w:val="nil"/>
              <w:right w:val="nil"/>
            </w:tcBorders>
            <w:shd w:val="clear" w:color="000000" w:fill="FFFFFF"/>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208,90</w:t>
            </w:r>
          </w:p>
        </w:tc>
      </w:tr>
      <w:tr w:rsidR="002316FA" w:rsidRPr="007B21AB" w:rsidTr="002316FA">
        <w:trPr>
          <w:trHeight w:val="255"/>
        </w:trPr>
        <w:tc>
          <w:tcPr>
            <w:tcW w:w="649" w:type="dxa"/>
            <w:tcBorders>
              <w:top w:val="nil"/>
              <w:left w:val="nil"/>
              <w:bottom w:val="single" w:sz="8" w:space="0" w:color="auto"/>
              <w:right w:val="nil"/>
            </w:tcBorders>
            <w:shd w:val="clear" w:color="000000" w:fill="FFFFFF"/>
            <w:noWrap/>
            <w:vAlign w:val="bottom"/>
          </w:tcPr>
          <w:p w:rsidR="002316FA" w:rsidRPr="007B21AB" w:rsidRDefault="002316FA" w:rsidP="0036526B">
            <w:pPr>
              <w:spacing w:after="0" w:line="240" w:lineRule="auto"/>
              <w:jc w:val="center"/>
              <w:rPr>
                <w:rFonts w:ascii="Arial" w:eastAsia="Times New Roman" w:hAnsi="Arial" w:cs="Arial"/>
                <w:bCs/>
                <w:sz w:val="24"/>
                <w:szCs w:val="24"/>
                <w:lang w:eastAsia="tr-TR"/>
              </w:rPr>
            </w:pPr>
            <w:r w:rsidRPr="007B21AB">
              <w:rPr>
                <w:rFonts w:ascii="Arial" w:eastAsia="Times New Roman" w:hAnsi="Arial" w:cs="Arial"/>
                <w:bCs/>
                <w:sz w:val="24"/>
                <w:szCs w:val="24"/>
                <w:lang w:eastAsia="tr-TR"/>
              </w:rPr>
              <w:t>2014</w:t>
            </w:r>
          </w:p>
        </w:tc>
        <w:tc>
          <w:tcPr>
            <w:tcW w:w="1831" w:type="dxa"/>
            <w:tcBorders>
              <w:top w:val="nil"/>
              <w:left w:val="nil"/>
              <w:bottom w:val="single" w:sz="8" w:space="0" w:color="auto"/>
              <w:right w:val="nil"/>
            </w:tcBorders>
            <w:shd w:val="clear" w:color="000000" w:fill="FFFFFF"/>
            <w:noWrap/>
            <w:vAlign w:val="bottom"/>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243,74</w:t>
            </w:r>
          </w:p>
        </w:tc>
        <w:tc>
          <w:tcPr>
            <w:tcW w:w="1134" w:type="dxa"/>
            <w:tcBorders>
              <w:top w:val="nil"/>
              <w:left w:val="nil"/>
              <w:bottom w:val="single" w:sz="8" w:space="0" w:color="auto"/>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r w:rsidRPr="007B21AB">
              <w:rPr>
                <w:rFonts w:ascii="Arial" w:eastAsia="Times New Roman" w:hAnsi="Arial" w:cs="Arial"/>
                <w:sz w:val="24"/>
                <w:szCs w:val="24"/>
                <w:lang w:eastAsia="tr-TR"/>
              </w:rPr>
              <w:t xml:space="preserve">Ekim ayı </w:t>
            </w:r>
          </w:p>
        </w:tc>
        <w:tc>
          <w:tcPr>
            <w:tcW w:w="370" w:type="dxa"/>
            <w:tcBorders>
              <w:top w:val="nil"/>
              <w:left w:val="nil"/>
              <w:bottom w:val="single" w:sz="8" w:space="0" w:color="auto"/>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160" w:type="dxa"/>
            <w:tcBorders>
              <w:top w:val="nil"/>
              <w:left w:val="nil"/>
              <w:bottom w:val="single" w:sz="8" w:space="0" w:color="auto"/>
              <w:right w:val="nil"/>
            </w:tcBorders>
            <w:shd w:val="clear" w:color="000000" w:fill="FFFFFF"/>
            <w:noWrap/>
            <w:vAlign w:val="bottom"/>
          </w:tcPr>
          <w:p w:rsidR="002316FA" w:rsidRPr="007B21AB" w:rsidRDefault="002316FA" w:rsidP="0036526B">
            <w:pPr>
              <w:spacing w:after="0" w:line="240" w:lineRule="auto"/>
              <w:rPr>
                <w:rFonts w:ascii="Arial" w:eastAsia="Times New Roman" w:hAnsi="Arial" w:cs="Arial"/>
                <w:sz w:val="24"/>
                <w:szCs w:val="24"/>
                <w:lang w:eastAsia="tr-TR"/>
              </w:rPr>
            </w:pPr>
          </w:p>
        </w:tc>
        <w:tc>
          <w:tcPr>
            <w:tcW w:w="2211" w:type="dxa"/>
            <w:tcBorders>
              <w:top w:val="nil"/>
              <w:left w:val="nil"/>
              <w:bottom w:val="single" w:sz="8" w:space="0" w:color="auto"/>
              <w:right w:val="nil"/>
            </w:tcBorders>
            <w:shd w:val="clear" w:color="000000" w:fill="FFFFFF"/>
          </w:tcPr>
          <w:p w:rsidR="002316FA" w:rsidRPr="007B21AB" w:rsidRDefault="002316FA" w:rsidP="002316FA">
            <w:pPr>
              <w:spacing w:after="0" w:line="240" w:lineRule="auto"/>
              <w:jc w:val="right"/>
              <w:rPr>
                <w:rFonts w:ascii="Arial" w:eastAsia="Times New Roman" w:hAnsi="Arial" w:cs="Arial"/>
                <w:sz w:val="24"/>
                <w:szCs w:val="24"/>
                <w:lang w:eastAsia="tr-TR"/>
              </w:rPr>
            </w:pPr>
            <w:r w:rsidRPr="007B21AB">
              <w:rPr>
                <w:rFonts w:ascii="Arial" w:eastAsia="Times New Roman" w:hAnsi="Arial" w:cs="Arial"/>
                <w:sz w:val="24"/>
                <w:szCs w:val="24"/>
                <w:lang w:eastAsia="tr-TR"/>
              </w:rPr>
              <w:t>237,79</w:t>
            </w:r>
          </w:p>
        </w:tc>
      </w:tr>
    </w:tbl>
    <w:p w:rsidR="00AE6D10" w:rsidRPr="007B21AB" w:rsidRDefault="00AE6D10">
      <w:pPr>
        <w:rPr>
          <w:rFonts w:ascii="Arial" w:hAnsi="Arial" w:cs="Arial"/>
          <w:sz w:val="24"/>
          <w:szCs w:val="24"/>
        </w:rPr>
      </w:pPr>
    </w:p>
    <w:p w:rsidR="0036526B" w:rsidRPr="007B21AB" w:rsidRDefault="00656868">
      <w:pPr>
        <w:rPr>
          <w:rFonts w:ascii="Arial" w:hAnsi="Arial" w:cs="Arial"/>
          <w:sz w:val="24"/>
          <w:szCs w:val="24"/>
        </w:rPr>
      </w:pPr>
      <w:r w:rsidRPr="007B21AB">
        <w:rPr>
          <w:rFonts w:ascii="Arial" w:hAnsi="Arial" w:cs="Arial"/>
          <w:sz w:val="24"/>
          <w:szCs w:val="24"/>
        </w:rPr>
        <w:t xml:space="preserve">Endeksin ilk </w:t>
      </w:r>
      <w:proofErr w:type="spellStart"/>
      <w:r w:rsidRPr="007B21AB">
        <w:rPr>
          <w:rFonts w:ascii="Arial" w:hAnsi="Arial" w:cs="Arial"/>
          <w:sz w:val="24"/>
          <w:szCs w:val="24"/>
        </w:rPr>
        <w:t>tesbitinden</w:t>
      </w:r>
      <w:proofErr w:type="spellEnd"/>
      <w:r w:rsidRPr="007B21AB">
        <w:rPr>
          <w:rFonts w:ascii="Arial" w:hAnsi="Arial" w:cs="Arial"/>
          <w:sz w:val="24"/>
          <w:szCs w:val="24"/>
        </w:rPr>
        <w:t xml:space="preserve"> 201</w:t>
      </w:r>
      <w:r w:rsidR="00DB521A" w:rsidRPr="007B21AB">
        <w:rPr>
          <w:rFonts w:ascii="Arial" w:hAnsi="Arial" w:cs="Arial"/>
          <w:sz w:val="24"/>
          <w:szCs w:val="24"/>
        </w:rPr>
        <w:t>4</w:t>
      </w:r>
      <w:r w:rsidRPr="007B21AB">
        <w:rPr>
          <w:rFonts w:ascii="Arial" w:hAnsi="Arial" w:cs="Arial"/>
          <w:sz w:val="24"/>
          <w:szCs w:val="24"/>
        </w:rPr>
        <w:t xml:space="preserve"> yılının Ekim sonuna kadar acaba enflasyon ne olmuştur. </w:t>
      </w:r>
    </w:p>
    <w:p w:rsidR="00E24055" w:rsidRPr="007B21AB" w:rsidRDefault="00E24055">
      <w:pPr>
        <w:rPr>
          <w:rFonts w:ascii="Arial" w:hAnsi="Arial" w:cs="Arial"/>
          <w:sz w:val="24"/>
          <w:szCs w:val="24"/>
        </w:rPr>
      </w:pPr>
      <w:r w:rsidRPr="007B21AB">
        <w:rPr>
          <w:rFonts w:ascii="Arial" w:hAnsi="Arial" w:cs="Arial"/>
          <w:sz w:val="24"/>
          <w:szCs w:val="24"/>
        </w:rPr>
        <w:t>Her iki tabloya göre</w:t>
      </w:r>
      <w:r w:rsidR="00DB521A" w:rsidRPr="007B21AB">
        <w:rPr>
          <w:rFonts w:ascii="Arial" w:hAnsi="Arial" w:cs="Arial"/>
          <w:sz w:val="24"/>
          <w:szCs w:val="24"/>
        </w:rPr>
        <w:t xml:space="preserve"> son enflasyon düzeltmesi olan 2004 yılını esas </w:t>
      </w:r>
      <w:proofErr w:type="gramStart"/>
      <w:r w:rsidR="00DB521A" w:rsidRPr="007B21AB">
        <w:rPr>
          <w:rFonts w:ascii="Arial" w:hAnsi="Arial" w:cs="Arial"/>
          <w:sz w:val="24"/>
          <w:szCs w:val="24"/>
        </w:rPr>
        <w:t xml:space="preserve">olarak </w:t>
      </w:r>
      <w:r w:rsidRPr="007B21AB">
        <w:rPr>
          <w:rFonts w:ascii="Arial" w:hAnsi="Arial" w:cs="Arial"/>
          <w:sz w:val="24"/>
          <w:szCs w:val="24"/>
        </w:rPr>
        <w:t xml:space="preserve"> tüketici</w:t>
      </w:r>
      <w:proofErr w:type="gramEnd"/>
      <w:r w:rsidRPr="007B21AB">
        <w:rPr>
          <w:rFonts w:ascii="Arial" w:hAnsi="Arial" w:cs="Arial"/>
          <w:sz w:val="24"/>
          <w:szCs w:val="24"/>
        </w:rPr>
        <w:t xml:space="preserve"> ve üretici fiyat enflasyonlarını bulalım. </w:t>
      </w:r>
    </w:p>
    <w:p w:rsidR="00E24055" w:rsidRPr="007B21AB" w:rsidRDefault="00E24055">
      <w:pPr>
        <w:rPr>
          <w:rFonts w:ascii="Arial" w:hAnsi="Arial" w:cs="Arial"/>
          <w:sz w:val="24"/>
          <w:szCs w:val="24"/>
        </w:rPr>
      </w:pPr>
    </w:p>
    <w:p w:rsidR="00E24055" w:rsidRPr="007B21AB" w:rsidRDefault="00E24055" w:rsidP="00E24055">
      <w:pPr>
        <w:pStyle w:val="ListeParagraf"/>
        <w:numPr>
          <w:ilvl w:val="0"/>
          <w:numId w:val="1"/>
        </w:numPr>
        <w:rPr>
          <w:rFonts w:ascii="Arial" w:hAnsi="Arial" w:cs="Arial"/>
          <w:sz w:val="24"/>
          <w:szCs w:val="24"/>
        </w:rPr>
      </w:pPr>
      <w:r w:rsidRPr="007B21AB">
        <w:rPr>
          <w:rFonts w:ascii="Arial" w:hAnsi="Arial" w:cs="Arial"/>
          <w:sz w:val="24"/>
          <w:szCs w:val="24"/>
        </w:rPr>
        <w:t xml:space="preserve">Tüketici fiyat </w:t>
      </w:r>
      <w:proofErr w:type="gramStart"/>
      <w:r w:rsidRPr="007B21AB">
        <w:rPr>
          <w:rFonts w:ascii="Arial" w:hAnsi="Arial" w:cs="Arial"/>
          <w:sz w:val="24"/>
          <w:szCs w:val="24"/>
        </w:rPr>
        <w:t>enflasyonu :</w:t>
      </w:r>
      <w:proofErr w:type="gramEnd"/>
    </w:p>
    <w:p w:rsidR="00656868" w:rsidRPr="007B21AB" w:rsidRDefault="00656868">
      <w:pPr>
        <w:rPr>
          <w:rFonts w:ascii="Arial" w:hAnsi="Arial" w:cs="Arial"/>
          <w:sz w:val="24"/>
          <w:szCs w:val="24"/>
        </w:rPr>
      </w:pPr>
      <w:r w:rsidRPr="007B21AB">
        <w:rPr>
          <w:rFonts w:ascii="Arial" w:hAnsi="Arial" w:cs="Arial"/>
          <w:sz w:val="24"/>
          <w:szCs w:val="24"/>
        </w:rPr>
        <w:t xml:space="preserve">Aşağıdaki formülle bunu bulabiliriz. </w:t>
      </w:r>
    </w:p>
    <w:p w:rsidR="0036526B" w:rsidRPr="007B21AB" w:rsidRDefault="0036526B">
      <w:pPr>
        <w:rPr>
          <w:rFonts w:ascii="Arial" w:hAnsi="Arial" w:cs="Arial"/>
          <w:sz w:val="24"/>
          <w:szCs w:val="24"/>
        </w:rPr>
      </w:pPr>
      <w:proofErr w:type="gramStart"/>
      <w:r w:rsidRPr="007B21AB">
        <w:rPr>
          <w:rFonts w:ascii="Arial" w:hAnsi="Arial" w:cs="Arial"/>
          <w:sz w:val="24"/>
          <w:szCs w:val="24"/>
        </w:rPr>
        <w:t>2</w:t>
      </w:r>
      <w:r w:rsidR="00DB521A" w:rsidRPr="007B21AB">
        <w:rPr>
          <w:rFonts w:ascii="Arial" w:hAnsi="Arial" w:cs="Arial"/>
          <w:sz w:val="24"/>
          <w:szCs w:val="24"/>
        </w:rPr>
        <w:t>43,74</w:t>
      </w:r>
      <w:r w:rsidRPr="007B21AB">
        <w:rPr>
          <w:rFonts w:ascii="Arial" w:hAnsi="Arial" w:cs="Arial"/>
          <w:sz w:val="24"/>
          <w:szCs w:val="24"/>
        </w:rPr>
        <w:t>/</w:t>
      </w:r>
      <w:r w:rsidR="00DB521A" w:rsidRPr="007B21AB">
        <w:rPr>
          <w:rFonts w:ascii="Arial" w:hAnsi="Arial" w:cs="Arial"/>
          <w:sz w:val="24"/>
          <w:szCs w:val="24"/>
        </w:rPr>
        <w:t>104,81</w:t>
      </w:r>
      <w:proofErr w:type="gramEnd"/>
      <w:r w:rsidRPr="007B21AB">
        <w:rPr>
          <w:rFonts w:ascii="Arial" w:hAnsi="Arial" w:cs="Arial"/>
          <w:sz w:val="24"/>
          <w:szCs w:val="24"/>
        </w:rPr>
        <w:t xml:space="preserve">= % </w:t>
      </w:r>
      <w:r w:rsidR="00DB521A" w:rsidRPr="007B21AB">
        <w:rPr>
          <w:rFonts w:ascii="Arial" w:hAnsi="Arial" w:cs="Arial"/>
          <w:sz w:val="24"/>
          <w:szCs w:val="24"/>
        </w:rPr>
        <w:t>232,55</w:t>
      </w:r>
      <w:r w:rsidRPr="007B21AB">
        <w:rPr>
          <w:rFonts w:ascii="Arial" w:hAnsi="Arial" w:cs="Arial"/>
          <w:sz w:val="24"/>
          <w:szCs w:val="24"/>
        </w:rPr>
        <w:t xml:space="preserve"> ARTIŞ</w:t>
      </w:r>
      <w:r w:rsidR="00656868" w:rsidRPr="007B21AB">
        <w:rPr>
          <w:rFonts w:ascii="Arial" w:hAnsi="Arial" w:cs="Arial"/>
          <w:sz w:val="24"/>
          <w:szCs w:val="24"/>
        </w:rPr>
        <w:t xml:space="preserve"> OLMUŞTUR. </w:t>
      </w:r>
    </w:p>
    <w:p w:rsidR="00DB521A" w:rsidRPr="007B21AB" w:rsidRDefault="00DB521A">
      <w:pPr>
        <w:rPr>
          <w:rFonts w:ascii="Arial" w:hAnsi="Arial" w:cs="Arial"/>
          <w:sz w:val="24"/>
          <w:szCs w:val="24"/>
        </w:rPr>
      </w:pPr>
    </w:p>
    <w:p w:rsidR="0036526B" w:rsidRPr="007B21AB" w:rsidRDefault="00E24055" w:rsidP="00E24055">
      <w:pPr>
        <w:pStyle w:val="ListeParagraf"/>
        <w:numPr>
          <w:ilvl w:val="0"/>
          <w:numId w:val="1"/>
        </w:numPr>
        <w:rPr>
          <w:rFonts w:ascii="Arial" w:hAnsi="Arial" w:cs="Arial"/>
          <w:sz w:val="24"/>
          <w:szCs w:val="24"/>
        </w:rPr>
      </w:pPr>
      <w:r w:rsidRPr="007B21AB">
        <w:rPr>
          <w:rFonts w:ascii="Arial" w:hAnsi="Arial" w:cs="Arial"/>
          <w:sz w:val="24"/>
          <w:szCs w:val="24"/>
        </w:rPr>
        <w:t xml:space="preserve">Üretici Fiyat enflasyonunu da bulalım. </w:t>
      </w:r>
    </w:p>
    <w:p w:rsidR="0036526B" w:rsidRPr="007B21AB" w:rsidRDefault="0036526B">
      <w:pPr>
        <w:rPr>
          <w:rFonts w:ascii="Arial" w:hAnsi="Arial" w:cs="Arial"/>
          <w:sz w:val="24"/>
          <w:szCs w:val="24"/>
        </w:rPr>
      </w:pPr>
    </w:p>
    <w:p w:rsidR="0036526B" w:rsidRPr="007B21AB" w:rsidRDefault="0036526B">
      <w:pPr>
        <w:rPr>
          <w:rFonts w:ascii="Arial" w:hAnsi="Arial" w:cs="Arial"/>
          <w:sz w:val="24"/>
          <w:szCs w:val="24"/>
        </w:rPr>
      </w:pPr>
      <w:proofErr w:type="gramStart"/>
      <w:r w:rsidRPr="007B21AB">
        <w:rPr>
          <w:rFonts w:ascii="Arial" w:hAnsi="Arial" w:cs="Arial"/>
          <w:sz w:val="24"/>
          <w:szCs w:val="24"/>
        </w:rPr>
        <w:t>2</w:t>
      </w:r>
      <w:r w:rsidR="00DB521A" w:rsidRPr="007B21AB">
        <w:rPr>
          <w:rFonts w:ascii="Arial" w:hAnsi="Arial" w:cs="Arial"/>
          <w:sz w:val="24"/>
          <w:szCs w:val="24"/>
        </w:rPr>
        <w:t>37,79</w:t>
      </w:r>
      <w:r w:rsidRPr="007B21AB">
        <w:rPr>
          <w:rFonts w:ascii="Arial" w:hAnsi="Arial" w:cs="Arial"/>
          <w:sz w:val="24"/>
          <w:szCs w:val="24"/>
        </w:rPr>
        <w:t>/</w:t>
      </w:r>
      <w:r w:rsidR="00DB521A" w:rsidRPr="007B21AB">
        <w:rPr>
          <w:rFonts w:ascii="Arial" w:hAnsi="Arial" w:cs="Arial"/>
          <w:sz w:val="24"/>
          <w:szCs w:val="24"/>
        </w:rPr>
        <w:t>107,17</w:t>
      </w:r>
      <w:proofErr w:type="gramEnd"/>
      <w:r w:rsidRPr="007B21AB">
        <w:rPr>
          <w:rFonts w:ascii="Arial" w:hAnsi="Arial" w:cs="Arial"/>
          <w:sz w:val="24"/>
          <w:szCs w:val="24"/>
        </w:rPr>
        <w:t xml:space="preserve"> = %2</w:t>
      </w:r>
      <w:r w:rsidR="00DB521A" w:rsidRPr="007B21AB">
        <w:rPr>
          <w:rFonts w:ascii="Arial" w:hAnsi="Arial" w:cs="Arial"/>
          <w:sz w:val="24"/>
          <w:szCs w:val="24"/>
        </w:rPr>
        <w:t>21,88</w:t>
      </w:r>
      <w:r w:rsidRPr="007B21AB">
        <w:rPr>
          <w:rFonts w:ascii="Arial" w:hAnsi="Arial" w:cs="Arial"/>
          <w:sz w:val="24"/>
          <w:szCs w:val="24"/>
        </w:rPr>
        <w:t xml:space="preserve"> ARTIŞ</w:t>
      </w:r>
    </w:p>
    <w:p w:rsidR="002316FA" w:rsidRPr="007B21AB" w:rsidRDefault="002316FA">
      <w:pPr>
        <w:rPr>
          <w:rFonts w:ascii="Arial" w:hAnsi="Arial" w:cs="Arial"/>
          <w:sz w:val="24"/>
          <w:szCs w:val="24"/>
        </w:rPr>
      </w:pPr>
    </w:p>
    <w:p w:rsidR="002316FA" w:rsidRPr="007B21AB" w:rsidRDefault="002316FA">
      <w:pPr>
        <w:rPr>
          <w:rFonts w:ascii="Arial" w:hAnsi="Arial" w:cs="Arial"/>
          <w:sz w:val="24"/>
          <w:szCs w:val="24"/>
        </w:rPr>
      </w:pPr>
      <w:r w:rsidRPr="007B21AB">
        <w:rPr>
          <w:rFonts w:ascii="Arial" w:hAnsi="Arial" w:cs="Arial"/>
          <w:sz w:val="24"/>
          <w:szCs w:val="24"/>
        </w:rPr>
        <w:tab/>
        <w:t xml:space="preserve">Şimdi yukarıdaki kanun maddesini hatırlayalım. Bakanlar kurulu isterse enflasyon düzeltmesi için oranı %35 e kadar indirmeye yetkilidir. </w:t>
      </w:r>
    </w:p>
    <w:p w:rsidR="002316FA" w:rsidRPr="007B21AB" w:rsidRDefault="002316FA">
      <w:pPr>
        <w:rPr>
          <w:rFonts w:ascii="Arial" w:hAnsi="Arial" w:cs="Arial"/>
          <w:sz w:val="24"/>
          <w:szCs w:val="24"/>
        </w:rPr>
      </w:pPr>
      <w:r w:rsidRPr="007B21AB">
        <w:rPr>
          <w:rFonts w:ascii="Arial" w:hAnsi="Arial" w:cs="Arial"/>
          <w:sz w:val="24"/>
          <w:szCs w:val="24"/>
        </w:rPr>
        <w:tab/>
        <w:t xml:space="preserve">Demek ki, Bakanlar kurulu isterse enflasyon düzeltmesi kararı alabilir. Ancak, ben bunu tavsiye etmiyorum. Enflasyon düzeltmesi çok zorlu bir çalışmayı gerektiren bir işlemdir. </w:t>
      </w:r>
    </w:p>
    <w:p w:rsidR="002316FA" w:rsidRPr="007B21AB" w:rsidRDefault="002316FA">
      <w:pPr>
        <w:rPr>
          <w:rFonts w:ascii="Arial" w:hAnsi="Arial" w:cs="Arial"/>
          <w:sz w:val="24"/>
          <w:szCs w:val="24"/>
        </w:rPr>
      </w:pPr>
      <w:r w:rsidRPr="007B21AB">
        <w:rPr>
          <w:rFonts w:ascii="Arial" w:hAnsi="Arial" w:cs="Arial"/>
          <w:sz w:val="24"/>
          <w:szCs w:val="24"/>
        </w:rPr>
        <w:tab/>
        <w:t xml:space="preserve">Bana göre Vergi Usul kanununa eklenecek bir geçici madde ile sadece 2014 yılı için yeniden değerleme yaptırabilir ve yeniden değerlemeden doğan fonların af yasasından doğan kanunen kabul edilmeyen giderlere ve geçmiş yıl zararlarına mahsup edilerek bilanço düzeltmesinin sağlanması düşünülebilir. </w:t>
      </w:r>
    </w:p>
    <w:p w:rsidR="00DB521A" w:rsidRPr="007B21AB" w:rsidRDefault="00DB521A" w:rsidP="00FE1BC3">
      <w:pPr>
        <w:rPr>
          <w:rFonts w:ascii="Arial" w:hAnsi="Arial" w:cs="Arial"/>
          <w:sz w:val="24"/>
          <w:szCs w:val="24"/>
        </w:rPr>
      </w:pPr>
    </w:p>
    <w:p w:rsidR="00451ED3" w:rsidRPr="007B21AB" w:rsidRDefault="0043679C" w:rsidP="00FE1BC3">
      <w:pPr>
        <w:rPr>
          <w:rFonts w:ascii="Arial" w:hAnsi="Arial" w:cs="Arial"/>
          <w:sz w:val="24"/>
          <w:szCs w:val="24"/>
        </w:rPr>
      </w:pPr>
      <w:r w:rsidRPr="007B21AB">
        <w:rPr>
          <w:rFonts w:ascii="Arial" w:hAnsi="Arial" w:cs="Arial"/>
          <w:sz w:val="24"/>
          <w:szCs w:val="24"/>
        </w:rPr>
        <w:t>10 YILLIK ENFLASYONSUZLUK DÖNEMİ SONUCU:</w:t>
      </w:r>
      <w:r w:rsidR="00451ED3" w:rsidRPr="007B21AB">
        <w:rPr>
          <w:rFonts w:ascii="Arial" w:hAnsi="Arial" w:cs="Arial"/>
          <w:sz w:val="24"/>
          <w:szCs w:val="24"/>
        </w:rPr>
        <w:t xml:space="preserve"> </w:t>
      </w:r>
    </w:p>
    <w:p w:rsidR="00451ED3" w:rsidRPr="007B21AB" w:rsidRDefault="00451ED3" w:rsidP="00FE1BC3">
      <w:pPr>
        <w:rPr>
          <w:rFonts w:ascii="Arial" w:hAnsi="Arial" w:cs="Arial"/>
          <w:sz w:val="24"/>
          <w:szCs w:val="24"/>
        </w:rPr>
      </w:pPr>
      <w:r w:rsidRPr="007B21AB">
        <w:rPr>
          <w:rFonts w:ascii="Arial" w:hAnsi="Arial" w:cs="Arial"/>
          <w:sz w:val="24"/>
          <w:szCs w:val="24"/>
        </w:rPr>
        <w:tab/>
        <w:t>İlk ve</w:t>
      </w:r>
      <w:r w:rsidR="00E24055" w:rsidRPr="007B21AB">
        <w:rPr>
          <w:rFonts w:ascii="Arial" w:hAnsi="Arial" w:cs="Arial"/>
          <w:sz w:val="24"/>
          <w:szCs w:val="24"/>
        </w:rPr>
        <w:t xml:space="preserve"> </w:t>
      </w:r>
      <w:proofErr w:type="gramStart"/>
      <w:r w:rsidR="00E24055" w:rsidRPr="007B21AB">
        <w:rPr>
          <w:rFonts w:ascii="Arial" w:hAnsi="Arial" w:cs="Arial"/>
          <w:sz w:val="24"/>
          <w:szCs w:val="24"/>
        </w:rPr>
        <w:t xml:space="preserve">son </w:t>
      </w:r>
      <w:r w:rsidRPr="007B21AB">
        <w:rPr>
          <w:rFonts w:ascii="Arial" w:hAnsi="Arial" w:cs="Arial"/>
          <w:sz w:val="24"/>
          <w:szCs w:val="24"/>
        </w:rPr>
        <w:t xml:space="preserve"> defa</w:t>
      </w:r>
      <w:proofErr w:type="gramEnd"/>
      <w:r w:rsidRPr="007B21AB">
        <w:rPr>
          <w:rFonts w:ascii="Arial" w:hAnsi="Arial" w:cs="Arial"/>
          <w:sz w:val="24"/>
          <w:szCs w:val="24"/>
        </w:rPr>
        <w:t xml:space="preserve"> yapılan enflasyon düzeltmesinden sonra geçen 10 yılda</w:t>
      </w:r>
      <w:r w:rsidR="00E24055" w:rsidRPr="007B21AB">
        <w:rPr>
          <w:rFonts w:ascii="Arial" w:hAnsi="Arial" w:cs="Arial"/>
          <w:sz w:val="24"/>
          <w:szCs w:val="24"/>
        </w:rPr>
        <w:t xml:space="preserve"> </w:t>
      </w:r>
      <w:r w:rsidRPr="007B21AB">
        <w:rPr>
          <w:rFonts w:ascii="Arial" w:hAnsi="Arial" w:cs="Arial"/>
          <w:sz w:val="24"/>
          <w:szCs w:val="24"/>
        </w:rPr>
        <w:t xml:space="preserve">enflasyon kontrol altına alınmış ve Vergi Usul Kanunun mükerrer 298 inci maddesinde belirtilen enflasyon düzeltmesi yapılabilmesi için gerekli olan her iki şart birden gerçekleşmemiştir. </w:t>
      </w:r>
    </w:p>
    <w:p w:rsidR="00451ED3" w:rsidRPr="007B21AB" w:rsidRDefault="00451ED3" w:rsidP="00FE1BC3">
      <w:pPr>
        <w:rPr>
          <w:rFonts w:ascii="Arial" w:hAnsi="Arial" w:cs="Arial"/>
          <w:sz w:val="24"/>
          <w:szCs w:val="24"/>
        </w:rPr>
      </w:pPr>
      <w:r w:rsidRPr="007B21AB">
        <w:rPr>
          <w:rFonts w:ascii="Arial" w:hAnsi="Arial" w:cs="Arial"/>
          <w:sz w:val="24"/>
          <w:szCs w:val="24"/>
        </w:rPr>
        <w:t>Ancak</w:t>
      </w:r>
      <w:r w:rsidR="00E24055" w:rsidRPr="007B21AB">
        <w:rPr>
          <w:rFonts w:ascii="Arial" w:hAnsi="Arial" w:cs="Arial"/>
          <w:sz w:val="24"/>
          <w:szCs w:val="24"/>
        </w:rPr>
        <w:t xml:space="preserve">, enflasyon düzeltmesi yapıldıktan </w:t>
      </w:r>
      <w:proofErr w:type="gramStart"/>
      <w:r w:rsidR="00E24055" w:rsidRPr="007B21AB">
        <w:rPr>
          <w:rFonts w:ascii="Arial" w:hAnsi="Arial" w:cs="Arial"/>
          <w:sz w:val="24"/>
          <w:szCs w:val="24"/>
        </w:rPr>
        <w:t xml:space="preserve">sonraki </w:t>
      </w:r>
      <w:r w:rsidRPr="007B21AB">
        <w:rPr>
          <w:rFonts w:ascii="Arial" w:hAnsi="Arial" w:cs="Arial"/>
          <w:sz w:val="24"/>
          <w:szCs w:val="24"/>
        </w:rPr>
        <w:t xml:space="preserve"> 10</w:t>
      </w:r>
      <w:proofErr w:type="gramEnd"/>
      <w:r w:rsidRPr="007B21AB">
        <w:rPr>
          <w:rFonts w:ascii="Arial" w:hAnsi="Arial" w:cs="Arial"/>
          <w:sz w:val="24"/>
          <w:szCs w:val="24"/>
        </w:rPr>
        <w:t xml:space="preserve"> yıllık gelişmeye baktığımızda Tüketici fiyatları ile enflasyonun %</w:t>
      </w:r>
      <w:r w:rsidR="00DB521A" w:rsidRPr="007B21AB">
        <w:rPr>
          <w:rFonts w:ascii="Arial" w:hAnsi="Arial" w:cs="Arial"/>
          <w:sz w:val="24"/>
          <w:szCs w:val="24"/>
        </w:rPr>
        <w:t>232,55</w:t>
      </w:r>
      <w:r w:rsidRPr="007B21AB">
        <w:rPr>
          <w:rFonts w:ascii="Arial" w:hAnsi="Arial" w:cs="Arial"/>
          <w:sz w:val="24"/>
          <w:szCs w:val="24"/>
        </w:rPr>
        <w:t>, üretici fiyatları ile enflasyonun ise %</w:t>
      </w:r>
      <w:r w:rsidR="00DB521A" w:rsidRPr="007B21AB">
        <w:rPr>
          <w:rFonts w:ascii="Arial" w:hAnsi="Arial" w:cs="Arial"/>
          <w:sz w:val="24"/>
          <w:szCs w:val="24"/>
        </w:rPr>
        <w:t>221,88</w:t>
      </w:r>
      <w:r w:rsidRPr="007B21AB">
        <w:rPr>
          <w:rFonts w:ascii="Arial" w:hAnsi="Arial" w:cs="Arial"/>
          <w:sz w:val="24"/>
          <w:szCs w:val="24"/>
        </w:rPr>
        <w:t xml:space="preserve"> olduğu açıkça görülmektedir. </w:t>
      </w:r>
    </w:p>
    <w:p w:rsidR="00451ED3" w:rsidRPr="007B21AB" w:rsidRDefault="00451ED3" w:rsidP="00FE1BC3">
      <w:pPr>
        <w:rPr>
          <w:rFonts w:ascii="Arial" w:hAnsi="Arial" w:cs="Arial"/>
          <w:sz w:val="24"/>
          <w:szCs w:val="24"/>
        </w:rPr>
      </w:pPr>
      <w:r w:rsidRPr="007B21AB">
        <w:rPr>
          <w:rFonts w:ascii="Arial" w:hAnsi="Arial" w:cs="Arial"/>
          <w:sz w:val="24"/>
          <w:szCs w:val="24"/>
        </w:rPr>
        <w:t>Bu şekildeki rakamlar neyi gösteriyor biliyor musunuz?</w:t>
      </w:r>
    </w:p>
    <w:p w:rsidR="00451ED3" w:rsidRPr="007B21AB" w:rsidRDefault="00451ED3" w:rsidP="00FE1BC3">
      <w:pPr>
        <w:rPr>
          <w:rFonts w:ascii="Arial" w:hAnsi="Arial" w:cs="Arial"/>
          <w:sz w:val="24"/>
          <w:szCs w:val="24"/>
        </w:rPr>
      </w:pPr>
      <w:r w:rsidRPr="007B21AB">
        <w:rPr>
          <w:rFonts w:ascii="Arial" w:hAnsi="Arial" w:cs="Arial"/>
          <w:sz w:val="24"/>
          <w:szCs w:val="24"/>
        </w:rPr>
        <w:t xml:space="preserve">Gayet tabii ki biliyorsunuz. </w:t>
      </w:r>
    </w:p>
    <w:p w:rsidR="00451ED3" w:rsidRPr="007B21AB" w:rsidRDefault="00451ED3" w:rsidP="00FE1BC3">
      <w:pPr>
        <w:rPr>
          <w:rFonts w:ascii="Arial" w:hAnsi="Arial" w:cs="Arial"/>
          <w:sz w:val="24"/>
          <w:szCs w:val="24"/>
        </w:rPr>
      </w:pPr>
      <w:r w:rsidRPr="007B21AB">
        <w:rPr>
          <w:rFonts w:ascii="Arial" w:hAnsi="Arial" w:cs="Arial"/>
          <w:sz w:val="24"/>
          <w:szCs w:val="24"/>
        </w:rPr>
        <w:t xml:space="preserve">İşletmelerin bilançoları yine gerçeği göstermemektedir. </w:t>
      </w:r>
    </w:p>
    <w:p w:rsidR="005F26D0" w:rsidRPr="007B21AB" w:rsidRDefault="005F26D0" w:rsidP="00FE1BC3">
      <w:pPr>
        <w:rPr>
          <w:rFonts w:ascii="Arial" w:hAnsi="Arial" w:cs="Arial"/>
          <w:sz w:val="24"/>
          <w:szCs w:val="24"/>
        </w:rPr>
      </w:pPr>
    </w:p>
    <w:p w:rsidR="00D84DE5" w:rsidRPr="007B21AB" w:rsidRDefault="0020593D" w:rsidP="0020593D">
      <w:pPr>
        <w:shd w:val="clear" w:color="auto" w:fill="FFFFFF"/>
        <w:spacing w:before="100" w:beforeAutospacing="1" w:after="100" w:afterAutospacing="1"/>
        <w:rPr>
          <w:rFonts w:ascii="Arial" w:eastAsia="Times New Roman" w:hAnsi="Arial" w:cs="Arial"/>
          <w:color w:val="000000"/>
          <w:sz w:val="24"/>
          <w:szCs w:val="24"/>
          <w:lang w:eastAsia="tr-TR"/>
        </w:rPr>
      </w:pPr>
      <w:r w:rsidRPr="007B21AB">
        <w:rPr>
          <w:rFonts w:ascii="Arial" w:eastAsia="Times New Roman" w:hAnsi="Arial" w:cs="Arial"/>
          <w:color w:val="000000"/>
          <w:sz w:val="24"/>
          <w:szCs w:val="24"/>
          <w:lang w:eastAsia="tr-TR"/>
        </w:rPr>
        <w:t xml:space="preserve">ÇÖZÜM: </w:t>
      </w:r>
    </w:p>
    <w:p w:rsidR="0020593D" w:rsidRPr="007B21AB" w:rsidRDefault="0020593D" w:rsidP="0020593D">
      <w:pPr>
        <w:shd w:val="clear" w:color="auto" w:fill="FFFFFF"/>
        <w:spacing w:before="100" w:beforeAutospacing="1" w:after="100" w:afterAutospacing="1"/>
        <w:rPr>
          <w:rFonts w:ascii="Arial" w:eastAsia="Times New Roman" w:hAnsi="Arial" w:cs="Arial"/>
          <w:color w:val="000000"/>
          <w:sz w:val="24"/>
          <w:szCs w:val="24"/>
          <w:lang w:eastAsia="tr-TR"/>
        </w:rPr>
      </w:pPr>
      <w:r w:rsidRPr="007B21AB">
        <w:rPr>
          <w:rFonts w:ascii="Arial" w:eastAsia="Times New Roman" w:hAnsi="Arial" w:cs="Arial"/>
          <w:color w:val="000000"/>
          <w:sz w:val="24"/>
          <w:szCs w:val="24"/>
          <w:lang w:eastAsia="tr-TR"/>
        </w:rPr>
        <w:t xml:space="preserve">Yukarıda belirtildiği şekilde bir defalık yeniden değerleme (enflasyon düzeltmesi değil) yapıldığı takdirde şirketlerde bir yeniden değerleme fonu doğacaktır. </w:t>
      </w:r>
    </w:p>
    <w:p w:rsidR="0020593D" w:rsidRPr="007B21AB" w:rsidRDefault="0020593D" w:rsidP="0020593D">
      <w:pPr>
        <w:shd w:val="clear" w:color="auto" w:fill="FFFFFF"/>
        <w:spacing w:before="100" w:beforeAutospacing="1" w:after="100" w:afterAutospacing="1"/>
        <w:rPr>
          <w:rFonts w:ascii="Arial" w:eastAsia="Times New Roman" w:hAnsi="Arial" w:cs="Arial"/>
          <w:color w:val="000000"/>
          <w:sz w:val="24"/>
          <w:szCs w:val="24"/>
          <w:lang w:eastAsia="tr-TR"/>
        </w:rPr>
      </w:pPr>
      <w:r w:rsidRPr="007B21AB">
        <w:rPr>
          <w:rFonts w:ascii="Arial" w:eastAsia="Times New Roman" w:hAnsi="Arial" w:cs="Arial"/>
          <w:color w:val="000000"/>
          <w:sz w:val="24"/>
          <w:szCs w:val="24"/>
          <w:lang w:eastAsia="tr-TR"/>
        </w:rPr>
        <w:t xml:space="preserve">Doğan yeniden değerleme fonu ile </w:t>
      </w:r>
      <w:proofErr w:type="spellStart"/>
      <w:r w:rsidRPr="007B21AB">
        <w:rPr>
          <w:rFonts w:ascii="Arial" w:eastAsia="Times New Roman" w:hAnsi="Arial" w:cs="Arial"/>
          <w:color w:val="000000"/>
          <w:sz w:val="24"/>
          <w:szCs w:val="24"/>
          <w:lang w:eastAsia="tr-TR"/>
        </w:rPr>
        <w:t>özsermaye</w:t>
      </w:r>
      <w:proofErr w:type="spellEnd"/>
      <w:r w:rsidRPr="007B21AB">
        <w:rPr>
          <w:rFonts w:ascii="Arial" w:eastAsia="Times New Roman" w:hAnsi="Arial" w:cs="Arial"/>
          <w:color w:val="000000"/>
          <w:sz w:val="24"/>
          <w:szCs w:val="24"/>
          <w:lang w:eastAsia="tr-TR"/>
        </w:rPr>
        <w:t xml:space="preserve"> kalemi altındaki aftan yararlanmadan doğan KANUNEN KABUL EDİLMEYEN GİDERLER </w:t>
      </w:r>
      <w:r w:rsidR="0043679C" w:rsidRPr="007B21AB">
        <w:rPr>
          <w:rFonts w:ascii="Arial" w:eastAsia="Times New Roman" w:hAnsi="Arial" w:cs="Arial"/>
          <w:color w:val="000000"/>
          <w:sz w:val="24"/>
          <w:szCs w:val="24"/>
          <w:lang w:eastAsia="tr-TR"/>
        </w:rPr>
        <w:t xml:space="preserve">VEYA GEÇMİŞ YIL ZARARLARI </w:t>
      </w:r>
      <w:proofErr w:type="gramStart"/>
      <w:r w:rsidR="0043679C" w:rsidRPr="007B21AB">
        <w:rPr>
          <w:rFonts w:ascii="Arial" w:eastAsia="Times New Roman" w:hAnsi="Arial" w:cs="Arial"/>
          <w:color w:val="000000"/>
          <w:sz w:val="24"/>
          <w:szCs w:val="24"/>
          <w:lang w:eastAsia="tr-TR"/>
        </w:rPr>
        <w:t xml:space="preserve">İLE </w:t>
      </w:r>
      <w:r w:rsidRPr="007B21AB">
        <w:rPr>
          <w:rFonts w:ascii="Arial" w:eastAsia="Times New Roman" w:hAnsi="Arial" w:cs="Arial"/>
          <w:color w:val="000000"/>
          <w:sz w:val="24"/>
          <w:szCs w:val="24"/>
          <w:lang w:eastAsia="tr-TR"/>
        </w:rPr>
        <w:t xml:space="preserve"> karşılaştırılır</w:t>
      </w:r>
      <w:proofErr w:type="gramEnd"/>
      <w:r w:rsidRPr="007B21AB">
        <w:rPr>
          <w:rFonts w:ascii="Arial" w:eastAsia="Times New Roman" w:hAnsi="Arial" w:cs="Arial"/>
          <w:color w:val="000000"/>
          <w:sz w:val="24"/>
          <w:szCs w:val="24"/>
          <w:lang w:eastAsia="tr-TR"/>
        </w:rPr>
        <w:t xml:space="preserve"> ve kalan miktar sermayeye ilave edilir. </w:t>
      </w:r>
    </w:p>
    <w:p w:rsidR="005F26D0" w:rsidRPr="007B21AB" w:rsidRDefault="005F26D0" w:rsidP="0020593D">
      <w:pPr>
        <w:shd w:val="clear" w:color="auto" w:fill="FFFFFF"/>
        <w:spacing w:before="100" w:beforeAutospacing="1" w:after="100" w:afterAutospacing="1"/>
        <w:rPr>
          <w:rFonts w:ascii="Arial" w:eastAsia="Times New Roman" w:hAnsi="Arial" w:cs="Arial"/>
          <w:color w:val="000000"/>
          <w:sz w:val="24"/>
          <w:szCs w:val="24"/>
          <w:lang w:eastAsia="tr-TR"/>
        </w:rPr>
      </w:pPr>
    </w:p>
    <w:p w:rsidR="0020593D" w:rsidRPr="007B21AB" w:rsidRDefault="0020593D" w:rsidP="0020593D">
      <w:pPr>
        <w:shd w:val="clear" w:color="auto" w:fill="FFFFFF"/>
        <w:spacing w:before="100" w:beforeAutospacing="1" w:after="100" w:afterAutospacing="1"/>
        <w:rPr>
          <w:rFonts w:ascii="Arial" w:eastAsia="Times New Roman" w:hAnsi="Arial" w:cs="Arial"/>
          <w:color w:val="000000"/>
          <w:sz w:val="24"/>
          <w:szCs w:val="24"/>
          <w:lang w:eastAsia="tr-TR"/>
        </w:rPr>
      </w:pPr>
      <w:r w:rsidRPr="007B21AB">
        <w:rPr>
          <w:rFonts w:ascii="Arial" w:eastAsia="Times New Roman" w:hAnsi="Arial" w:cs="Arial"/>
          <w:color w:val="000000"/>
          <w:sz w:val="24"/>
          <w:szCs w:val="24"/>
          <w:lang w:eastAsia="tr-TR"/>
        </w:rPr>
        <w:t xml:space="preserve">Bu şekilde </w:t>
      </w:r>
    </w:p>
    <w:p w:rsidR="0020593D" w:rsidRPr="007B21AB" w:rsidRDefault="0020593D" w:rsidP="0020593D">
      <w:pPr>
        <w:pStyle w:val="ListeParagraf"/>
        <w:numPr>
          <w:ilvl w:val="0"/>
          <w:numId w:val="2"/>
        </w:numPr>
        <w:shd w:val="clear" w:color="auto" w:fill="FFFFFF"/>
        <w:spacing w:before="100" w:beforeAutospacing="1" w:after="100" w:afterAutospacing="1"/>
        <w:rPr>
          <w:rFonts w:ascii="Arial" w:eastAsia="Times New Roman" w:hAnsi="Arial" w:cs="Arial"/>
          <w:color w:val="000000"/>
          <w:sz w:val="24"/>
          <w:szCs w:val="24"/>
          <w:lang w:eastAsia="tr-TR"/>
        </w:rPr>
      </w:pPr>
      <w:r w:rsidRPr="007B21AB">
        <w:rPr>
          <w:rFonts w:ascii="Arial" w:eastAsia="Times New Roman" w:hAnsi="Arial" w:cs="Arial"/>
          <w:color w:val="000000"/>
          <w:sz w:val="24"/>
          <w:szCs w:val="24"/>
          <w:lang w:eastAsia="tr-TR"/>
        </w:rPr>
        <w:t xml:space="preserve">Şirketin sabit kıymetleri enflasyon oranında bugünkü değere getirilmiş olacaktır. </w:t>
      </w:r>
    </w:p>
    <w:p w:rsidR="0020593D" w:rsidRPr="007B21AB" w:rsidRDefault="0020593D" w:rsidP="0020593D">
      <w:pPr>
        <w:pStyle w:val="ListeParagraf"/>
        <w:numPr>
          <w:ilvl w:val="0"/>
          <w:numId w:val="2"/>
        </w:numPr>
        <w:shd w:val="clear" w:color="auto" w:fill="FFFFFF"/>
        <w:spacing w:before="100" w:beforeAutospacing="1" w:after="100" w:afterAutospacing="1"/>
        <w:rPr>
          <w:rFonts w:ascii="Arial" w:eastAsia="Times New Roman" w:hAnsi="Arial" w:cs="Arial"/>
          <w:color w:val="000000"/>
          <w:sz w:val="24"/>
          <w:szCs w:val="24"/>
          <w:lang w:eastAsia="tr-TR"/>
        </w:rPr>
      </w:pPr>
      <w:r w:rsidRPr="007B21AB">
        <w:rPr>
          <w:rFonts w:ascii="Arial" w:eastAsia="Times New Roman" w:hAnsi="Arial" w:cs="Arial"/>
          <w:color w:val="000000"/>
          <w:sz w:val="24"/>
          <w:szCs w:val="24"/>
          <w:lang w:eastAsia="tr-TR"/>
        </w:rPr>
        <w:t xml:space="preserve">Yıllardır bilançolarda duran ve halledilemeyen kanunen kabul edilmeyen giderler ortadan kalkmış olacaktır. </w:t>
      </w:r>
    </w:p>
    <w:p w:rsidR="0020593D" w:rsidRPr="007B21AB" w:rsidRDefault="0020593D" w:rsidP="0020593D">
      <w:pPr>
        <w:pStyle w:val="ListeParagraf"/>
        <w:numPr>
          <w:ilvl w:val="0"/>
          <w:numId w:val="2"/>
        </w:numPr>
        <w:shd w:val="clear" w:color="auto" w:fill="FFFFFF"/>
        <w:spacing w:before="100" w:beforeAutospacing="1" w:after="100" w:afterAutospacing="1"/>
        <w:rPr>
          <w:rFonts w:ascii="Arial" w:eastAsia="Times New Roman" w:hAnsi="Arial" w:cs="Arial"/>
          <w:color w:val="000000"/>
          <w:sz w:val="24"/>
          <w:szCs w:val="24"/>
          <w:lang w:eastAsia="tr-TR"/>
        </w:rPr>
      </w:pPr>
      <w:r w:rsidRPr="007B21AB">
        <w:rPr>
          <w:rFonts w:ascii="Arial" w:eastAsia="Times New Roman" w:hAnsi="Arial" w:cs="Arial"/>
          <w:color w:val="000000"/>
          <w:sz w:val="24"/>
          <w:szCs w:val="24"/>
          <w:lang w:eastAsia="tr-TR"/>
        </w:rPr>
        <w:t xml:space="preserve">Bilançolar IFRS VE </w:t>
      </w:r>
      <w:proofErr w:type="gramStart"/>
      <w:r w:rsidRPr="007B21AB">
        <w:rPr>
          <w:rFonts w:ascii="Arial" w:eastAsia="Times New Roman" w:hAnsi="Arial" w:cs="Arial"/>
          <w:color w:val="000000"/>
          <w:sz w:val="24"/>
          <w:szCs w:val="24"/>
          <w:lang w:eastAsia="tr-TR"/>
        </w:rPr>
        <w:t>TFRS  standartlarına</w:t>
      </w:r>
      <w:proofErr w:type="gramEnd"/>
      <w:r w:rsidRPr="007B21AB">
        <w:rPr>
          <w:rFonts w:ascii="Arial" w:eastAsia="Times New Roman" w:hAnsi="Arial" w:cs="Arial"/>
          <w:color w:val="000000"/>
          <w:sz w:val="24"/>
          <w:szCs w:val="24"/>
          <w:lang w:eastAsia="tr-TR"/>
        </w:rPr>
        <w:t xml:space="preserve"> uygun olacaktır. </w:t>
      </w:r>
    </w:p>
    <w:p w:rsidR="0020593D" w:rsidRPr="007B21AB" w:rsidRDefault="0020593D" w:rsidP="0020593D">
      <w:pPr>
        <w:pStyle w:val="ListeParagraf"/>
        <w:numPr>
          <w:ilvl w:val="0"/>
          <w:numId w:val="2"/>
        </w:numPr>
        <w:shd w:val="clear" w:color="auto" w:fill="FFFFFF"/>
        <w:spacing w:before="100" w:beforeAutospacing="1" w:after="100" w:afterAutospacing="1"/>
        <w:rPr>
          <w:rFonts w:ascii="Arial" w:eastAsia="Times New Roman" w:hAnsi="Arial" w:cs="Arial"/>
          <w:color w:val="000000"/>
          <w:sz w:val="24"/>
          <w:szCs w:val="24"/>
          <w:lang w:eastAsia="tr-TR"/>
        </w:rPr>
      </w:pPr>
      <w:r w:rsidRPr="007B21AB">
        <w:rPr>
          <w:rFonts w:ascii="Arial" w:eastAsia="Times New Roman" w:hAnsi="Arial" w:cs="Arial"/>
          <w:color w:val="000000"/>
          <w:sz w:val="24"/>
          <w:szCs w:val="24"/>
          <w:lang w:eastAsia="tr-TR"/>
        </w:rPr>
        <w:t xml:space="preserve">Böylece bilançoların uluslararası standartlara uyumu sağlanacaktır. </w:t>
      </w:r>
    </w:p>
    <w:p w:rsidR="0020593D" w:rsidRPr="007B21AB" w:rsidRDefault="0020593D" w:rsidP="0020593D">
      <w:pPr>
        <w:pStyle w:val="ListeParagraf"/>
        <w:numPr>
          <w:ilvl w:val="0"/>
          <w:numId w:val="2"/>
        </w:numPr>
        <w:shd w:val="clear" w:color="auto" w:fill="FFFFFF"/>
        <w:spacing w:before="100" w:beforeAutospacing="1" w:after="100" w:afterAutospacing="1"/>
        <w:rPr>
          <w:rFonts w:ascii="Arial" w:eastAsia="Times New Roman" w:hAnsi="Arial" w:cs="Arial"/>
          <w:color w:val="000000"/>
          <w:sz w:val="24"/>
          <w:szCs w:val="24"/>
          <w:lang w:eastAsia="tr-TR"/>
        </w:rPr>
      </w:pPr>
      <w:r w:rsidRPr="007B21AB">
        <w:rPr>
          <w:rFonts w:ascii="Arial" w:eastAsia="Times New Roman" w:hAnsi="Arial" w:cs="Arial"/>
          <w:color w:val="000000"/>
          <w:sz w:val="24"/>
          <w:szCs w:val="24"/>
          <w:lang w:eastAsia="tr-TR"/>
        </w:rPr>
        <w:t xml:space="preserve">Yapılan düzeltmeden sonra kalan miktar sermayeye ilave edilecek olduğundan şirketlerin mali yapısı da daha iyi bir hale gelecektir. </w:t>
      </w:r>
    </w:p>
    <w:p w:rsidR="0020593D" w:rsidRPr="007B21AB" w:rsidRDefault="0020593D" w:rsidP="0020593D">
      <w:pPr>
        <w:pStyle w:val="ListeParagraf"/>
        <w:numPr>
          <w:ilvl w:val="0"/>
          <w:numId w:val="2"/>
        </w:numPr>
        <w:shd w:val="clear" w:color="auto" w:fill="FFFFFF"/>
        <w:spacing w:before="100" w:beforeAutospacing="1" w:after="100" w:afterAutospacing="1"/>
        <w:rPr>
          <w:rFonts w:ascii="Arial" w:eastAsia="Times New Roman" w:hAnsi="Arial" w:cs="Arial"/>
          <w:color w:val="000000"/>
          <w:sz w:val="24"/>
          <w:szCs w:val="24"/>
          <w:lang w:eastAsia="tr-TR"/>
        </w:rPr>
      </w:pPr>
      <w:r w:rsidRPr="007B21AB">
        <w:rPr>
          <w:rFonts w:ascii="Arial" w:eastAsia="Times New Roman" w:hAnsi="Arial" w:cs="Arial"/>
          <w:color w:val="000000"/>
          <w:sz w:val="24"/>
          <w:szCs w:val="24"/>
          <w:lang w:eastAsia="tr-TR"/>
        </w:rPr>
        <w:t xml:space="preserve">Fiktif olarak şirketlerin borca batık durumda olmasının önüne geçilmiş olacaktır. </w:t>
      </w:r>
    </w:p>
    <w:p w:rsidR="0036526B" w:rsidRPr="007B21AB" w:rsidRDefault="005F26D0" w:rsidP="005F26D0">
      <w:pPr>
        <w:ind w:left="360"/>
        <w:rPr>
          <w:rFonts w:ascii="Arial" w:hAnsi="Arial" w:cs="Arial"/>
          <w:sz w:val="24"/>
          <w:szCs w:val="24"/>
        </w:rPr>
      </w:pPr>
      <w:r w:rsidRPr="007B21AB">
        <w:rPr>
          <w:rFonts w:ascii="Arial" w:hAnsi="Arial" w:cs="Arial"/>
          <w:sz w:val="24"/>
          <w:szCs w:val="24"/>
        </w:rPr>
        <w:t xml:space="preserve">Şirketlerin bu kötü durumdan kurtarılması için yapılacak işlem, </w:t>
      </w:r>
      <w:proofErr w:type="gramStart"/>
      <w:r w:rsidRPr="007B21AB">
        <w:rPr>
          <w:rFonts w:ascii="Arial" w:hAnsi="Arial" w:cs="Arial"/>
          <w:sz w:val="24"/>
          <w:szCs w:val="24"/>
        </w:rPr>
        <w:t>bence , Vergi</w:t>
      </w:r>
      <w:proofErr w:type="gramEnd"/>
      <w:r w:rsidRPr="007B21AB">
        <w:rPr>
          <w:rFonts w:ascii="Arial" w:hAnsi="Arial" w:cs="Arial"/>
          <w:sz w:val="24"/>
          <w:szCs w:val="24"/>
        </w:rPr>
        <w:t xml:space="preserve"> Usul Kanununa bir geçici madde ekleyerek, bir defalık yeniden değerleme veya enflasyon düzeltmesi yapılmasına izin vermek ve 6111 v e 6552 sayılı yasalardan doğan KANUNEN KABUL EDİLMEYEN GİDERLERİN</w:t>
      </w:r>
      <w:r w:rsidR="0043679C" w:rsidRPr="007B21AB">
        <w:rPr>
          <w:rFonts w:ascii="Arial" w:hAnsi="Arial" w:cs="Arial"/>
          <w:sz w:val="24"/>
          <w:szCs w:val="24"/>
        </w:rPr>
        <w:t xml:space="preserve"> VE GEÇMİŞ YIL ZARARLARININ </w:t>
      </w:r>
      <w:r w:rsidR="00EE4A1D" w:rsidRPr="007B21AB">
        <w:rPr>
          <w:rFonts w:ascii="Arial" w:hAnsi="Arial" w:cs="Arial"/>
          <w:sz w:val="24"/>
          <w:szCs w:val="24"/>
        </w:rPr>
        <w:t xml:space="preserve"> yapılan düzeltmeden doğan fonlarla karşılaştırılarak, bilançoların düzeltilmesinin sağlanması, kalan yeniden değerleme veya enflasyon düzeltmesi fonu varsa bunların sermayeye ekleneceği hüküm altına alınmalıdır. </w:t>
      </w:r>
    </w:p>
    <w:p w:rsidR="00EE4A1D" w:rsidRPr="007B21AB" w:rsidRDefault="00EE4A1D" w:rsidP="005F26D0">
      <w:pPr>
        <w:ind w:left="360"/>
        <w:rPr>
          <w:rFonts w:ascii="Arial" w:hAnsi="Arial" w:cs="Arial"/>
          <w:sz w:val="24"/>
          <w:szCs w:val="24"/>
        </w:rPr>
      </w:pPr>
      <w:r w:rsidRPr="007B21AB">
        <w:rPr>
          <w:rFonts w:ascii="Arial" w:hAnsi="Arial" w:cs="Arial"/>
          <w:sz w:val="24"/>
          <w:szCs w:val="24"/>
        </w:rPr>
        <w:t>Bu düzenlemenin özellikle 2014 bilançosunu kapsayacak şekilde yapılması yukarıda da bahsettiğimiz gibi gerek bil</w:t>
      </w:r>
      <w:r w:rsidR="0043679C" w:rsidRPr="007B21AB">
        <w:rPr>
          <w:rFonts w:ascii="Arial" w:hAnsi="Arial" w:cs="Arial"/>
          <w:sz w:val="24"/>
          <w:szCs w:val="24"/>
        </w:rPr>
        <w:t>a</w:t>
      </w:r>
      <w:r w:rsidRPr="007B21AB">
        <w:rPr>
          <w:rFonts w:ascii="Arial" w:hAnsi="Arial" w:cs="Arial"/>
          <w:sz w:val="24"/>
          <w:szCs w:val="24"/>
        </w:rPr>
        <w:t xml:space="preserve">nçoların düzeltmesi ve gerekse </w:t>
      </w:r>
      <w:proofErr w:type="gramStart"/>
      <w:r w:rsidRPr="007B21AB">
        <w:rPr>
          <w:rFonts w:ascii="Arial" w:hAnsi="Arial" w:cs="Arial"/>
          <w:sz w:val="24"/>
          <w:szCs w:val="24"/>
        </w:rPr>
        <w:t>Uluslar arası</w:t>
      </w:r>
      <w:proofErr w:type="gramEnd"/>
      <w:r w:rsidRPr="007B21AB">
        <w:rPr>
          <w:rFonts w:ascii="Arial" w:hAnsi="Arial" w:cs="Arial"/>
          <w:sz w:val="24"/>
          <w:szCs w:val="24"/>
        </w:rPr>
        <w:t xml:space="preserve"> ve yurtiçi denetim standartları açısından çok önemlidir. </w:t>
      </w:r>
    </w:p>
    <w:p w:rsidR="0043679C" w:rsidRPr="007B21AB" w:rsidRDefault="0043679C" w:rsidP="005F26D0">
      <w:pPr>
        <w:ind w:left="360"/>
        <w:rPr>
          <w:rFonts w:ascii="Arial" w:hAnsi="Arial" w:cs="Arial"/>
          <w:sz w:val="24"/>
          <w:szCs w:val="24"/>
        </w:rPr>
      </w:pPr>
    </w:p>
    <w:p w:rsidR="0043679C" w:rsidRPr="007B21AB" w:rsidRDefault="0043679C" w:rsidP="005F26D0">
      <w:pPr>
        <w:ind w:left="360"/>
        <w:rPr>
          <w:rFonts w:ascii="Arial" w:hAnsi="Arial" w:cs="Arial"/>
          <w:sz w:val="24"/>
          <w:szCs w:val="24"/>
        </w:rPr>
      </w:pP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t>CEVDET AKÇAKOCA</w:t>
      </w:r>
    </w:p>
    <w:p w:rsidR="0043679C" w:rsidRPr="007B21AB" w:rsidRDefault="0043679C" w:rsidP="005F26D0">
      <w:pPr>
        <w:ind w:left="360"/>
        <w:rPr>
          <w:rFonts w:ascii="Arial" w:hAnsi="Arial" w:cs="Arial"/>
          <w:sz w:val="24"/>
          <w:szCs w:val="24"/>
        </w:rPr>
      </w:pP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t xml:space="preserve">BAĞIMSIZ DENETÇİ </w:t>
      </w:r>
    </w:p>
    <w:p w:rsidR="0043679C" w:rsidRPr="007B21AB" w:rsidRDefault="0043679C" w:rsidP="005F26D0">
      <w:pPr>
        <w:ind w:left="360"/>
        <w:rPr>
          <w:rFonts w:ascii="Arial" w:hAnsi="Arial" w:cs="Arial"/>
          <w:sz w:val="24"/>
          <w:szCs w:val="24"/>
        </w:rPr>
      </w:pP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r>
      <w:r w:rsidRPr="007B21AB">
        <w:rPr>
          <w:rFonts w:ascii="Arial" w:hAnsi="Arial" w:cs="Arial"/>
          <w:sz w:val="24"/>
          <w:szCs w:val="24"/>
        </w:rPr>
        <w:tab/>
        <w:t xml:space="preserve">YEMİNLİ MALİ MÜŞAVİR </w:t>
      </w:r>
    </w:p>
    <w:p w:rsidR="00EE4A1D" w:rsidRPr="007B21AB" w:rsidRDefault="00EE4A1D" w:rsidP="005F26D0">
      <w:pPr>
        <w:ind w:left="360"/>
        <w:rPr>
          <w:rFonts w:ascii="Arial" w:hAnsi="Arial" w:cs="Arial"/>
          <w:sz w:val="24"/>
          <w:szCs w:val="24"/>
        </w:rPr>
      </w:pPr>
    </w:p>
    <w:sectPr w:rsidR="00EE4A1D" w:rsidRPr="007B21AB" w:rsidSect="00A74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A60B5"/>
    <w:multiLevelType w:val="hybridMultilevel"/>
    <w:tmpl w:val="03F64450"/>
    <w:lvl w:ilvl="0" w:tplc="85A8035A">
      <w:start w:val="1"/>
      <w:numFmt w:val="lowerLetter"/>
      <w:lvlText w:val="%1."/>
      <w:lvlJc w:val="left"/>
      <w:pPr>
        <w:ind w:left="1065" w:hanging="360"/>
      </w:pPr>
      <w:rPr>
        <w:rFonts w:hint="default"/>
        <w:color w:val="060606"/>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20650C72"/>
    <w:multiLevelType w:val="hybridMultilevel"/>
    <w:tmpl w:val="2BF8173C"/>
    <w:lvl w:ilvl="0" w:tplc="62420F4C">
      <w:start w:val="1"/>
      <w:numFmt w:val="lowerLetter"/>
      <w:lvlText w:val="%1."/>
      <w:lvlJc w:val="left"/>
      <w:pPr>
        <w:ind w:left="1068" w:hanging="360"/>
      </w:pPr>
      <w:rPr>
        <w:rFonts w:hint="default"/>
        <w:color w:val="060606"/>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446F1219"/>
    <w:multiLevelType w:val="hybridMultilevel"/>
    <w:tmpl w:val="D304F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F646547"/>
    <w:multiLevelType w:val="hybridMultilevel"/>
    <w:tmpl w:val="459494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6B"/>
    <w:rsid w:val="00101FF5"/>
    <w:rsid w:val="00135876"/>
    <w:rsid w:val="00172EF6"/>
    <w:rsid w:val="0020593D"/>
    <w:rsid w:val="002316FA"/>
    <w:rsid w:val="002A1F46"/>
    <w:rsid w:val="002E6AA9"/>
    <w:rsid w:val="0036526B"/>
    <w:rsid w:val="003918EF"/>
    <w:rsid w:val="0043679C"/>
    <w:rsid w:val="00451ED3"/>
    <w:rsid w:val="004C4222"/>
    <w:rsid w:val="004F7871"/>
    <w:rsid w:val="00580DCC"/>
    <w:rsid w:val="005F26D0"/>
    <w:rsid w:val="00656868"/>
    <w:rsid w:val="006B6979"/>
    <w:rsid w:val="007B21AB"/>
    <w:rsid w:val="007C001B"/>
    <w:rsid w:val="00925FF1"/>
    <w:rsid w:val="00A7450D"/>
    <w:rsid w:val="00A9768E"/>
    <w:rsid w:val="00AE6D10"/>
    <w:rsid w:val="00B34CAC"/>
    <w:rsid w:val="00BC1471"/>
    <w:rsid w:val="00CD0C97"/>
    <w:rsid w:val="00D84DE5"/>
    <w:rsid w:val="00DB521A"/>
    <w:rsid w:val="00E24055"/>
    <w:rsid w:val="00EE4A1D"/>
    <w:rsid w:val="00EF69C5"/>
    <w:rsid w:val="00F37CFB"/>
    <w:rsid w:val="00F80B60"/>
    <w:rsid w:val="00FE1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95EE0-D6A0-4B06-AC5F-4D26E263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5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4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9594">
      <w:bodyDiv w:val="1"/>
      <w:marLeft w:val="0"/>
      <w:marRight w:val="0"/>
      <w:marTop w:val="0"/>
      <w:marBottom w:val="0"/>
      <w:divBdr>
        <w:top w:val="none" w:sz="0" w:space="0" w:color="auto"/>
        <w:left w:val="none" w:sz="0" w:space="0" w:color="auto"/>
        <w:bottom w:val="none" w:sz="0" w:space="0" w:color="auto"/>
        <w:right w:val="none" w:sz="0" w:space="0" w:color="auto"/>
      </w:divBdr>
      <w:divsChild>
        <w:div w:id="1831169199">
          <w:marLeft w:val="0"/>
          <w:marRight w:val="0"/>
          <w:marTop w:val="0"/>
          <w:marBottom w:val="0"/>
          <w:divBdr>
            <w:top w:val="none" w:sz="0" w:space="0" w:color="auto"/>
            <w:left w:val="none" w:sz="0" w:space="0" w:color="auto"/>
            <w:bottom w:val="none" w:sz="0" w:space="0" w:color="auto"/>
            <w:right w:val="none" w:sz="0" w:space="0" w:color="auto"/>
          </w:divBdr>
        </w:div>
      </w:divsChild>
    </w:div>
    <w:div w:id="175582029">
      <w:bodyDiv w:val="1"/>
      <w:marLeft w:val="0"/>
      <w:marRight w:val="0"/>
      <w:marTop w:val="0"/>
      <w:marBottom w:val="0"/>
      <w:divBdr>
        <w:top w:val="none" w:sz="0" w:space="0" w:color="auto"/>
        <w:left w:val="none" w:sz="0" w:space="0" w:color="auto"/>
        <w:bottom w:val="none" w:sz="0" w:space="0" w:color="auto"/>
        <w:right w:val="none" w:sz="0" w:space="0" w:color="auto"/>
      </w:divBdr>
      <w:divsChild>
        <w:div w:id="838497909">
          <w:marLeft w:val="0"/>
          <w:marRight w:val="0"/>
          <w:marTop w:val="0"/>
          <w:marBottom w:val="0"/>
          <w:divBdr>
            <w:top w:val="none" w:sz="0" w:space="0" w:color="auto"/>
            <w:left w:val="none" w:sz="0" w:space="0" w:color="auto"/>
            <w:bottom w:val="none" w:sz="0" w:space="0" w:color="auto"/>
            <w:right w:val="none" w:sz="0" w:space="0" w:color="auto"/>
          </w:divBdr>
          <w:divsChild>
            <w:div w:id="301890556">
              <w:marLeft w:val="0"/>
              <w:marRight w:val="0"/>
              <w:marTop w:val="0"/>
              <w:marBottom w:val="0"/>
              <w:divBdr>
                <w:top w:val="none" w:sz="0" w:space="0" w:color="auto"/>
                <w:left w:val="none" w:sz="0" w:space="0" w:color="auto"/>
                <w:bottom w:val="none" w:sz="0" w:space="0" w:color="auto"/>
                <w:right w:val="none" w:sz="0" w:space="0" w:color="auto"/>
              </w:divBdr>
              <w:divsChild>
                <w:div w:id="1646667542">
                  <w:marLeft w:val="0"/>
                  <w:marRight w:val="0"/>
                  <w:marTop w:val="0"/>
                  <w:marBottom w:val="0"/>
                  <w:divBdr>
                    <w:top w:val="none" w:sz="0" w:space="0" w:color="auto"/>
                    <w:left w:val="none" w:sz="0" w:space="0" w:color="auto"/>
                    <w:bottom w:val="none" w:sz="0" w:space="0" w:color="auto"/>
                    <w:right w:val="none" w:sz="0" w:space="0" w:color="auto"/>
                  </w:divBdr>
                </w:div>
                <w:div w:id="338506867">
                  <w:marLeft w:val="0"/>
                  <w:marRight w:val="0"/>
                  <w:marTop w:val="0"/>
                  <w:marBottom w:val="0"/>
                  <w:divBdr>
                    <w:top w:val="none" w:sz="0" w:space="0" w:color="auto"/>
                    <w:left w:val="none" w:sz="0" w:space="0" w:color="auto"/>
                    <w:bottom w:val="none" w:sz="0" w:space="0" w:color="auto"/>
                    <w:right w:val="none" w:sz="0" w:space="0" w:color="auto"/>
                  </w:divBdr>
                </w:div>
                <w:div w:id="943419670">
                  <w:marLeft w:val="0"/>
                  <w:marRight w:val="0"/>
                  <w:marTop w:val="0"/>
                  <w:marBottom w:val="0"/>
                  <w:divBdr>
                    <w:top w:val="none" w:sz="0" w:space="0" w:color="auto"/>
                    <w:left w:val="none" w:sz="0" w:space="0" w:color="auto"/>
                    <w:bottom w:val="none" w:sz="0" w:space="0" w:color="auto"/>
                    <w:right w:val="none" w:sz="0" w:space="0" w:color="auto"/>
                  </w:divBdr>
                </w:div>
                <w:div w:id="2051757878">
                  <w:marLeft w:val="0"/>
                  <w:marRight w:val="0"/>
                  <w:marTop w:val="0"/>
                  <w:marBottom w:val="0"/>
                  <w:divBdr>
                    <w:top w:val="none" w:sz="0" w:space="0" w:color="auto"/>
                    <w:left w:val="none" w:sz="0" w:space="0" w:color="auto"/>
                    <w:bottom w:val="none" w:sz="0" w:space="0" w:color="auto"/>
                    <w:right w:val="none" w:sz="0" w:space="0" w:color="auto"/>
                  </w:divBdr>
                </w:div>
                <w:div w:id="1463813237">
                  <w:marLeft w:val="0"/>
                  <w:marRight w:val="0"/>
                  <w:marTop w:val="0"/>
                  <w:marBottom w:val="0"/>
                  <w:divBdr>
                    <w:top w:val="none" w:sz="0" w:space="0" w:color="auto"/>
                    <w:left w:val="none" w:sz="0" w:space="0" w:color="auto"/>
                    <w:bottom w:val="none" w:sz="0" w:space="0" w:color="auto"/>
                    <w:right w:val="none" w:sz="0" w:space="0" w:color="auto"/>
                  </w:divBdr>
                </w:div>
                <w:div w:id="82992479">
                  <w:marLeft w:val="0"/>
                  <w:marRight w:val="0"/>
                  <w:marTop w:val="0"/>
                  <w:marBottom w:val="0"/>
                  <w:divBdr>
                    <w:top w:val="none" w:sz="0" w:space="0" w:color="auto"/>
                    <w:left w:val="none" w:sz="0" w:space="0" w:color="auto"/>
                    <w:bottom w:val="none" w:sz="0" w:space="0" w:color="auto"/>
                    <w:right w:val="none" w:sz="0" w:space="0" w:color="auto"/>
                  </w:divBdr>
                </w:div>
                <w:div w:id="408845949">
                  <w:marLeft w:val="0"/>
                  <w:marRight w:val="0"/>
                  <w:marTop w:val="0"/>
                  <w:marBottom w:val="0"/>
                  <w:divBdr>
                    <w:top w:val="none" w:sz="0" w:space="0" w:color="auto"/>
                    <w:left w:val="none" w:sz="0" w:space="0" w:color="auto"/>
                    <w:bottom w:val="none" w:sz="0" w:space="0" w:color="auto"/>
                    <w:right w:val="none" w:sz="0" w:space="0" w:color="auto"/>
                  </w:divBdr>
                </w:div>
                <w:div w:id="827021845">
                  <w:marLeft w:val="0"/>
                  <w:marRight w:val="0"/>
                  <w:marTop w:val="0"/>
                  <w:marBottom w:val="0"/>
                  <w:divBdr>
                    <w:top w:val="none" w:sz="0" w:space="0" w:color="auto"/>
                    <w:left w:val="none" w:sz="0" w:space="0" w:color="auto"/>
                    <w:bottom w:val="none" w:sz="0" w:space="0" w:color="auto"/>
                    <w:right w:val="none" w:sz="0" w:space="0" w:color="auto"/>
                  </w:divBdr>
                </w:div>
                <w:div w:id="1927375856">
                  <w:marLeft w:val="0"/>
                  <w:marRight w:val="0"/>
                  <w:marTop w:val="0"/>
                  <w:marBottom w:val="0"/>
                  <w:divBdr>
                    <w:top w:val="none" w:sz="0" w:space="0" w:color="auto"/>
                    <w:left w:val="none" w:sz="0" w:space="0" w:color="auto"/>
                    <w:bottom w:val="none" w:sz="0" w:space="0" w:color="auto"/>
                    <w:right w:val="none" w:sz="0" w:space="0" w:color="auto"/>
                  </w:divBdr>
                </w:div>
                <w:div w:id="1958218048">
                  <w:marLeft w:val="0"/>
                  <w:marRight w:val="0"/>
                  <w:marTop w:val="0"/>
                  <w:marBottom w:val="0"/>
                  <w:divBdr>
                    <w:top w:val="none" w:sz="0" w:space="0" w:color="auto"/>
                    <w:left w:val="none" w:sz="0" w:space="0" w:color="auto"/>
                    <w:bottom w:val="none" w:sz="0" w:space="0" w:color="auto"/>
                    <w:right w:val="none" w:sz="0" w:space="0" w:color="auto"/>
                  </w:divBdr>
                </w:div>
                <w:div w:id="1686708757">
                  <w:marLeft w:val="0"/>
                  <w:marRight w:val="0"/>
                  <w:marTop w:val="0"/>
                  <w:marBottom w:val="0"/>
                  <w:divBdr>
                    <w:top w:val="none" w:sz="0" w:space="0" w:color="auto"/>
                    <w:left w:val="none" w:sz="0" w:space="0" w:color="auto"/>
                    <w:bottom w:val="none" w:sz="0" w:space="0" w:color="auto"/>
                    <w:right w:val="none" w:sz="0" w:space="0" w:color="auto"/>
                  </w:divBdr>
                </w:div>
                <w:div w:id="188881942">
                  <w:marLeft w:val="0"/>
                  <w:marRight w:val="0"/>
                  <w:marTop w:val="0"/>
                  <w:marBottom w:val="0"/>
                  <w:divBdr>
                    <w:top w:val="none" w:sz="0" w:space="0" w:color="auto"/>
                    <w:left w:val="none" w:sz="0" w:space="0" w:color="auto"/>
                    <w:bottom w:val="none" w:sz="0" w:space="0" w:color="auto"/>
                    <w:right w:val="none" w:sz="0" w:space="0" w:color="auto"/>
                  </w:divBdr>
                </w:div>
                <w:div w:id="2138719011">
                  <w:marLeft w:val="0"/>
                  <w:marRight w:val="0"/>
                  <w:marTop w:val="0"/>
                  <w:marBottom w:val="0"/>
                  <w:divBdr>
                    <w:top w:val="none" w:sz="0" w:space="0" w:color="auto"/>
                    <w:left w:val="none" w:sz="0" w:space="0" w:color="auto"/>
                    <w:bottom w:val="none" w:sz="0" w:space="0" w:color="auto"/>
                    <w:right w:val="none" w:sz="0" w:space="0" w:color="auto"/>
                  </w:divBdr>
                </w:div>
                <w:div w:id="907886141">
                  <w:marLeft w:val="0"/>
                  <w:marRight w:val="0"/>
                  <w:marTop w:val="0"/>
                  <w:marBottom w:val="0"/>
                  <w:divBdr>
                    <w:top w:val="none" w:sz="0" w:space="0" w:color="auto"/>
                    <w:left w:val="none" w:sz="0" w:space="0" w:color="auto"/>
                    <w:bottom w:val="none" w:sz="0" w:space="0" w:color="auto"/>
                    <w:right w:val="none" w:sz="0" w:space="0" w:color="auto"/>
                  </w:divBdr>
                </w:div>
                <w:div w:id="1300308716">
                  <w:marLeft w:val="0"/>
                  <w:marRight w:val="0"/>
                  <w:marTop w:val="0"/>
                  <w:marBottom w:val="0"/>
                  <w:divBdr>
                    <w:top w:val="none" w:sz="0" w:space="0" w:color="auto"/>
                    <w:left w:val="none" w:sz="0" w:space="0" w:color="auto"/>
                    <w:bottom w:val="none" w:sz="0" w:space="0" w:color="auto"/>
                    <w:right w:val="none" w:sz="0" w:space="0" w:color="auto"/>
                  </w:divBdr>
                </w:div>
                <w:div w:id="1366297336">
                  <w:marLeft w:val="0"/>
                  <w:marRight w:val="0"/>
                  <w:marTop w:val="0"/>
                  <w:marBottom w:val="0"/>
                  <w:divBdr>
                    <w:top w:val="none" w:sz="0" w:space="0" w:color="auto"/>
                    <w:left w:val="none" w:sz="0" w:space="0" w:color="auto"/>
                    <w:bottom w:val="none" w:sz="0" w:space="0" w:color="auto"/>
                    <w:right w:val="none" w:sz="0" w:space="0" w:color="auto"/>
                  </w:divBdr>
                </w:div>
                <w:div w:id="1383864081">
                  <w:marLeft w:val="0"/>
                  <w:marRight w:val="0"/>
                  <w:marTop w:val="0"/>
                  <w:marBottom w:val="0"/>
                  <w:divBdr>
                    <w:top w:val="none" w:sz="0" w:space="0" w:color="auto"/>
                    <w:left w:val="none" w:sz="0" w:space="0" w:color="auto"/>
                    <w:bottom w:val="none" w:sz="0" w:space="0" w:color="auto"/>
                    <w:right w:val="none" w:sz="0" w:space="0" w:color="auto"/>
                  </w:divBdr>
                </w:div>
                <w:div w:id="2087454442">
                  <w:marLeft w:val="0"/>
                  <w:marRight w:val="0"/>
                  <w:marTop w:val="0"/>
                  <w:marBottom w:val="0"/>
                  <w:divBdr>
                    <w:top w:val="none" w:sz="0" w:space="0" w:color="auto"/>
                    <w:left w:val="none" w:sz="0" w:space="0" w:color="auto"/>
                    <w:bottom w:val="none" w:sz="0" w:space="0" w:color="auto"/>
                    <w:right w:val="none" w:sz="0" w:space="0" w:color="auto"/>
                  </w:divBdr>
                </w:div>
                <w:div w:id="1352609449">
                  <w:marLeft w:val="0"/>
                  <w:marRight w:val="0"/>
                  <w:marTop w:val="0"/>
                  <w:marBottom w:val="0"/>
                  <w:divBdr>
                    <w:top w:val="none" w:sz="0" w:space="0" w:color="auto"/>
                    <w:left w:val="none" w:sz="0" w:space="0" w:color="auto"/>
                    <w:bottom w:val="none" w:sz="0" w:space="0" w:color="auto"/>
                    <w:right w:val="none" w:sz="0" w:space="0" w:color="auto"/>
                  </w:divBdr>
                </w:div>
                <w:div w:id="267081340">
                  <w:marLeft w:val="0"/>
                  <w:marRight w:val="0"/>
                  <w:marTop w:val="0"/>
                  <w:marBottom w:val="0"/>
                  <w:divBdr>
                    <w:top w:val="none" w:sz="0" w:space="0" w:color="auto"/>
                    <w:left w:val="none" w:sz="0" w:space="0" w:color="auto"/>
                    <w:bottom w:val="none" w:sz="0" w:space="0" w:color="auto"/>
                    <w:right w:val="none" w:sz="0" w:space="0" w:color="auto"/>
                  </w:divBdr>
                </w:div>
                <w:div w:id="1654409672">
                  <w:marLeft w:val="0"/>
                  <w:marRight w:val="0"/>
                  <w:marTop w:val="0"/>
                  <w:marBottom w:val="0"/>
                  <w:divBdr>
                    <w:top w:val="none" w:sz="0" w:space="0" w:color="auto"/>
                    <w:left w:val="none" w:sz="0" w:space="0" w:color="auto"/>
                    <w:bottom w:val="none" w:sz="0" w:space="0" w:color="auto"/>
                    <w:right w:val="none" w:sz="0" w:space="0" w:color="auto"/>
                  </w:divBdr>
                </w:div>
                <w:div w:id="807089022">
                  <w:marLeft w:val="0"/>
                  <w:marRight w:val="0"/>
                  <w:marTop w:val="0"/>
                  <w:marBottom w:val="0"/>
                  <w:divBdr>
                    <w:top w:val="none" w:sz="0" w:space="0" w:color="auto"/>
                    <w:left w:val="none" w:sz="0" w:space="0" w:color="auto"/>
                    <w:bottom w:val="none" w:sz="0" w:space="0" w:color="auto"/>
                    <w:right w:val="none" w:sz="0" w:space="0" w:color="auto"/>
                  </w:divBdr>
                  <w:divsChild>
                    <w:div w:id="364910127">
                      <w:marLeft w:val="0"/>
                      <w:marRight w:val="0"/>
                      <w:marTop w:val="0"/>
                      <w:marBottom w:val="0"/>
                      <w:divBdr>
                        <w:top w:val="none" w:sz="0" w:space="0" w:color="auto"/>
                        <w:left w:val="none" w:sz="0" w:space="0" w:color="auto"/>
                        <w:bottom w:val="none" w:sz="0" w:space="0" w:color="auto"/>
                        <w:right w:val="none" w:sz="0" w:space="0" w:color="auto"/>
                      </w:divBdr>
                    </w:div>
                    <w:div w:id="299893323">
                      <w:marLeft w:val="0"/>
                      <w:marRight w:val="0"/>
                      <w:marTop w:val="0"/>
                      <w:marBottom w:val="0"/>
                      <w:divBdr>
                        <w:top w:val="none" w:sz="0" w:space="0" w:color="auto"/>
                        <w:left w:val="none" w:sz="0" w:space="0" w:color="auto"/>
                        <w:bottom w:val="none" w:sz="0" w:space="0" w:color="auto"/>
                        <w:right w:val="none" w:sz="0" w:space="0" w:color="auto"/>
                      </w:divBdr>
                    </w:div>
                    <w:div w:id="65227414">
                      <w:marLeft w:val="0"/>
                      <w:marRight w:val="0"/>
                      <w:marTop w:val="0"/>
                      <w:marBottom w:val="0"/>
                      <w:divBdr>
                        <w:top w:val="none" w:sz="0" w:space="0" w:color="auto"/>
                        <w:left w:val="none" w:sz="0" w:space="0" w:color="auto"/>
                        <w:bottom w:val="none" w:sz="0" w:space="0" w:color="auto"/>
                        <w:right w:val="none" w:sz="0" w:space="0" w:color="auto"/>
                      </w:divBdr>
                    </w:div>
                    <w:div w:id="17845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634">
      <w:bodyDiv w:val="1"/>
      <w:marLeft w:val="0"/>
      <w:marRight w:val="0"/>
      <w:marTop w:val="0"/>
      <w:marBottom w:val="0"/>
      <w:divBdr>
        <w:top w:val="none" w:sz="0" w:space="0" w:color="auto"/>
        <w:left w:val="none" w:sz="0" w:space="0" w:color="auto"/>
        <w:bottom w:val="none" w:sz="0" w:space="0" w:color="auto"/>
        <w:right w:val="none" w:sz="0" w:space="0" w:color="auto"/>
      </w:divBdr>
    </w:div>
    <w:div w:id="1667054366">
      <w:bodyDiv w:val="1"/>
      <w:marLeft w:val="0"/>
      <w:marRight w:val="0"/>
      <w:marTop w:val="0"/>
      <w:marBottom w:val="0"/>
      <w:divBdr>
        <w:top w:val="none" w:sz="0" w:space="0" w:color="auto"/>
        <w:left w:val="none" w:sz="0" w:space="0" w:color="auto"/>
        <w:bottom w:val="none" w:sz="0" w:space="0" w:color="auto"/>
        <w:right w:val="none" w:sz="0" w:space="0" w:color="auto"/>
      </w:divBdr>
    </w:div>
    <w:div w:id="21273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maliye.com/2010/vuk_401.htm" TargetMode="External"/><Relationship Id="rId13" Type="http://schemas.openxmlformats.org/officeDocument/2006/relationships/hyperlink" Target="http://www.alomaliye.com/kasim_05/vuk_353.htm" TargetMode="External"/><Relationship Id="rId3" Type="http://schemas.openxmlformats.org/officeDocument/2006/relationships/styles" Target="styles.xml"/><Relationship Id="rId7" Type="http://schemas.openxmlformats.org/officeDocument/2006/relationships/hyperlink" Target="http://www.alomaliye.com/2011/vuk_genel_tebligi_410.htm" TargetMode="External"/><Relationship Id="rId12" Type="http://schemas.openxmlformats.org/officeDocument/2006/relationships/hyperlink" Target="http://www.alomaliye.com/kasim_06/vuk_36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omaliye.com/2012/vergi-usul-kanunu-tebligi-419.htm" TargetMode="External"/><Relationship Id="rId11" Type="http://schemas.openxmlformats.org/officeDocument/2006/relationships/hyperlink" Target="http://www.alomaliye.com/2007/vuk_377.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omaliye.com/2008/vuk_388.htm" TargetMode="External"/><Relationship Id="rId4" Type="http://schemas.openxmlformats.org/officeDocument/2006/relationships/settings" Target="settings.xml"/><Relationship Id="rId9" Type="http://schemas.openxmlformats.org/officeDocument/2006/relationships/hyperlink" Target="http://www.alomaliye.com/2009/vuk_392.htm"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15FEE-827E-4F35-B430-E73EA119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2200</Words>
  <Characters>12542</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2</cp:revision>
  <dcterms:created xsi:type="dcterms:W3CDTF">2014-11-21T08:08:00Z</dcterms:created>
  <dcterms:modified xsi:type="dcterms:W3CDTF">2014-11-21T08:08:00Z</dcterms:modified>
</cp:coreProperties>
</file>